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spacing w:before="60" w:after="60"/>
        <w:outlineLvl w:val="0"/>
        <w:rPr>
          <w:rFonts w:eastAsia="宋体" w:cs="Arial"/>
          <w:sz w:val="24"/>
          <w:szCs w:val="24"/>
          <w:lang w:val="en-US" w:eastAsia="zh-CN"/>
        </w:rPr>
      </w:pPr>
      <w:r>
        <w:rPr>
          <w:rFonts w:eastAsia="宋体" w:cs="Arial"/>
          <w:sz w:val="24"/>
          <w:szCs w:val="24"/>
        </w:rPr>
        <w:t>3GPP TSG-RAN WG4 Meeting #116</w:t>
      </w:r>
      <w:r>
        <w:rPr>
          <w:rFonts w:hint="eastAsia" w:eastAsia="宋体" w:cs="Arial"/>
          <w:sz w:val="24"/>
          <w:szCs w:val="24"/>
        </w:rPr>
        <w:t xml:space="preserve">                                  </w:t>
      </w:r>
      <w:r>
        <w:rPr>
          <w:rFonts w:eastAsia="宋体" w:cs="Arial"/>
          <w:sz w:val="24"/>
          <w:szCs w:val="24"/>
        </w:rPr>
        <w:t>R4-2</w:t>
      </w:r>
      <w:r>
        <w:rPr>
          <w:rFonts w:hint="eastAsia" w:eastAsia="宋体" w:cs="Arial"/>
          <w:sz w:val="24"/>
          <w:szCs w:val="24"/>
        </w:rPr>
        <w:t>5</w:t>
      </w:r>
      <w:r>
        <w:rPr>
          <w:rFonts w:hint="eastAsia" w:eastAsia="宋体" w:cs="Arial"/>
          <w:sz w:val="24"/>
          <w:szCs w:val="24"/>
          <w:lang w:val="en-US" w:eastAsia="zh-CN"/>
        </w:rPr>
        <w:t>11024</w:t>
      </w:r>
      <w:bookmarkStart w:id="3" w:name="_GoBack"/>
      <w:bookmarkEnd w:id="3"/>
      <w:r>
        <w:rPr>
          <w:rFonts w:hint="eastAsia" w:eastAsia="宋体" w:cs="Arial"/>
          <w:sz w:val="24"/>
          <w:szCs w:val="24"/>
        </w:rPr>
        <w:t xml:space="preserve">                                                          </w:t>
      </w:r>
    </w:p>
    <w:p>
      <w:pPr>
        <w:pStyle w:val="27"/>
        <w:spacing w:before="60" w:after="60"/>
        <w:outlineLvl w:val="0"/>
        <w:rPr>
          <w:rFonts w:eastAsia="宋体" w:cs="Arial"/>
          <w:sz w:val="24"/>
          <w:szCs w:val="24"/>
        </w:rPr>
      </w:pPr>
      <w:r>
        <w:rPr>
          <w:rFonts w:eastAsia="宋体" w:cs="Arial"/>
          <w:sz w:val="24"/>
          <w:szCs w:val="24"/>
        </w:rPr>
        <w:t>Bangalore</w:t>
      </w:r>
      <w:r>
        <w:rPr>
          <w:rFonts w:hint="eastAsia" w:eastAsia="宋体" w:cs="Arial"/>
          <w:sz w:val="24"/>
          <w:szCs w:val="24"/>
        </w:rPr>
        <w:t>,</w:t>
      </w:r>
      <w:r>
        <w:rPr>
          <w:rFonts w:eastAsia="宋体" w:cs="Arial"/>
          <w:sz w:val="24"/>
          <w:szCs w:val="24"/>
        </w:rPr>
        <w:t xml:space="preserve"> India, 25</w:t>
      </w:r>
      <w:r>
        <w:rPr>
          <w:rFonts w:eastAsia="宋体" w:cs="Arial"/>
          <w:sz w:val="24"/>
          <w:szCs w:val="24"/>
          <w:vertAlign w:val="superscript"/>
        </w:rPr>
        <w:t>th</w:t>
      </w:r>
      <w:r>
        <w:rPr>
          <w:rFonts w:eastAsia="宋体" w:cs="Arial"/>
          <w:sz w:val="24"/>
          <w:szCs w:val="24"/>
        </w:rPr>
        <w:t xml:space="preserve"> – </w:t>
      </w:r>
      <w:r>
        <w:rPr>
          <w:rFonts w:hint="eastAsia" w:eastAsia="宋体" w:cs="Arial"/>
          <w:sz w:val="24"/>
          <w:szCs w:val="24"/>
        </w:rPr>
        <w:t>2</w:t>
      </w:r>
      <w:r>
        <w:rPr>
          <w:rFonts w:eastAsia="宋体" w:cs="Arial"/>
          <w:sz w:val="24"/>
          <w:szCs w:val="24"/>
        </w:rPr>
        <w:t>9</w:t>
      </w:r>
      <w:r>
        <w:rPr>
          <w:rFonts w:hint="eastAsia" w:eastAsia="宋体" w:cs="Arial"/>
          <w:sz w:val="24"/>
          <w:szCs w:val="24"/>
          <w:vertAlign w:val="superscript"/>
        </w:rPr>
        <w:t>th</w:t>
      </w:r>
      <w:r>
        <w:rPr>
          <w:rFonts w:eastAsia="宋体" w:cs="Arial"/>
          <w:sz w:val="24"/>
          <w:szCs w:val="24"/>
        </w:rPr>
        <w:t xml:space="preserve"> August, 202</w:t>
      </w:r>
      <w:r>
        <w:rPr>
          <w:rFonts w:hint="eastAsia" w:eastAsia="宋体" w:cs="Arial"/>
          <w:sz w:val="24"/>
          <w:szCs w:val="24"/>
        </w:rPr>
        <w:t>5</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Ku bands for NR NTN</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7.7.7</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rPr>
          <w:lang w:val="en-US" w:eastAsia="zh-CN"/>
        </w:rPr>
      </w:pPr>
      <w:r>
        <w:rPr>
          <w:rFonts w:hint="eastAsia" w:eastAsia="宋体"/>
          <w:sz w:val="22"/>
          <w:lang w:val="en-US" w:eastAsia="zh-CN"/>
        </w:rPr>
        <w:t>At RAN #107 meeting the revised WI“Introduction of Ku bands for NR NTN”[1] was approved. In the WID, Ku bands have been introduced for NR NTN with the mobile VSAT UE. In #11</w:t>
      </w:r>
      <w:r>
        <w:rPr>
          <w:rFonts w:eastAsia="宋体"/>
          <w:sz w:val="22"/>
          <w:lang w:val="en-US" w:eastAsia="zh-CN"/>
        </w:rPr>
        <w:t>6</w:t>
      </w:r>
      <w:r>
        <w:rPr>
          <w:rFonts w:hint="eastAsia" w:eastAsia="宋体"/>
          <w:sz w:val="22"/>
          <w:lang w:val="en-US" w:eastAsia="zh-CN"/>
        </w:rPr>
        <w:t xml:space="preserve"> meeting we will specify the </w:t>
      </w:r>
      <w:r>
        <w:rPr>
          <w:rFonts w:eastAsia="宋体"/>
          <w:sz w:val="22"/>
          <w:lang w:val="en-US" w:eastAsia="zh-CN"/>
        </w:rPr>
        <w:t>remaining issues</w:t>
      </w:r>
      <w:r>
        <w:rPr>
          <w:rFonts w:hint="eastAsia" w:eastAsia="宋体"/>
          <w:sz w:val="22"/>
          <w:lang w:val="en-US" w:eastAsia="zh-CN"/>
        </w:rPr>
        <w:t xml:space="preserve"> on the topics. </w:t>
      </w:r>
      <w:r>
        <w:rPr>
          <w:rFonts w:hint="eastAsia"/>
          <w:lang w:val="en-US" w:eastAsia="zh-CN"/>
        </w:rPr>
        <w:t>In current WID description, RAN4</w:t>
      </w:r>
      <w:r>
        <w:rPr>
          <w:lang w:val="en-US" w:eastAsia="zh-CN"/>
        </w:rPr>
        <w:t>’</w:t>
      </w:r>
      <w:r>
        <w:rPr>
          <w:rFonts w:hint="eastAsia"/>
          <w:lang w:val="en-US" w:eastAsia="zh-CN"/>
        </w:rPr>
        <w:t>s work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rPr>
                <w:bCs/>
                <w:lang w:val="en-US"/>
              </w:rPr>
            </w:pPr>
            <w:r>
              <w:rPr>
                <w:rFonts w:eastAsia="PMingLiU"/>
                <w:iCs/>
                <w:lang w:val="en-US" w:eastAsia="zh-CN" w:bidi="ar"/>
              </w:rPr>
              <w:t>The objectives are:</w:t>
            </w:r>
          </w:p>
          <w:p>
            <w:pPr>
              <w:numPr>
                <w:ilvl w:val="0"/>
                <w:numId w:val="3"/>
              </w:numPr>
              <w:tabs>
                <w:tab w:val="left" w:pos="720"/>
              </w:tabs>
              <w:overflowPunct w:val="0"/>
              <w:autoSpaceDE w:val="0"/>
              <w:autoSpaceDN w:val="0"/>
              <w:adjustRightInd w:val="0"/>
              <w:spacing w:after="0"/>
              <w:jc w:val="both"/>
              <w:rPr>
                <w:rFonts w:eastAsia="PMingLiU"/>
                <w:bCs/>
                <w:lang w:val="en-US"/>
              </w:rPr>
            </w:pPr>
            <w:r>
              <w:rPr>
                <w:rFonts w:eastAsia="PMingLiU"/>
                <w:bCs/>
                <w:lang w:val="en-US"/>
              </w:rPr>
              <w:t>Use the regulation requirements in ITU Regions 1, 2 and 3 to identify relevant adjacent band co-existence scenarios for NTN Ku Band covering the following frequency ranges, considering targeted deployment scenarios:</w:t>
            </w:r>
          </w:p>
          <w:p>
            <w:pPr>
              <w:numPr>
                <w:ilvl w:val="1"/>
                <w:numId w:val="3"/>
              </w:numPr>
              <w:tabs>
                <w:tab w:val="left" w:pos="1440"/>
              </w:tabs>
              <w:overflowPunct w:val="0"/>
              <w:autoSpaceDE w:val="0"/>
              <w:autoSpaceDN w:val="0"/>
              <w:adjustRightInd w:val="0"/>
              <w:spacing w:after="0"/>
              <w:jc w:val="both"/>
              <w:rPr>
                <w:rFonts w:eastAsia="PMingLiU"/>
                <w:bCs/>
                <w:lang w:val="en-US"/>
              </w:rPr>
            </w:pPr>
            <w:r>
              <w:rPr>
                <w:rFonts w:eastAsia="PMingLiU"/>
                <w:bCs/>
                <w:lang w:val="en-US"/>
              </w:rPr>
              <w:t>For ITU regions 1 and 3:</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Downlink 10.70 – 12.75 GHz</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Uplink 13.75-14.5 GHz</w:t>
            </w:r>
          </w:p>
          <w:p>
            <w:pPr>
              <w:numPr>
                <w:ilvl w:val="1"/>
                <w:numId w:val="3"/>
              </w:numPr>
              <w:tabs>
                <w:tab w:val="left" w:pos="1440"/>
              </w:tabs>
              <w:overflowPunct w:val="0"/>
              <w:autoSpaceDE w:val="0"/>
              <w:autoSpaceDN w:val="0"/>
              <w:adjustRightInd w:val="0"/>
              <w:spacing w:after="0"/>
              <w:jc w:val="both"/>
              <w:rPr>
                <w:rFonts w:eastAsia="PMingLiU"/>
                <w:bCs/>
                <w:lang w:val="en-US"/>
              </w:rPr>
            </w:pPr>
            <w:r>
              <w:rPr>
                <w:rFonts w:eastAsia="PMingLiU"/>
                <w:bCs/>
                <w:lang w:val="en-US"/>
              </w:rPr>
              <w:t>For ITU regions 2</w:t>
            </w:r>
            <w:r>
              <w:rPr>
                <w:rFonts w:eastAsia="PMingLiU"/>
                <w:lang w:val="en-US"/>
              </w:rPr>
              <w:t xml:space="preserve"> (The US is in scope for the WI using the current allocation of the Ku band. The band introduction in specification is pending FCC decision)</w:t>
            </w:r>
            <w:r>
              <w:rPr>
                <w:rFonts w:eastAsia="PMingLiU"/>
                <w:bCs/>
                <w:lang w:val="en-US"/>
              </w:rPr>
              <w:t>:</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Downlink 10.70 – 12.70 GHz</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Uplink 13.75-14.5 GHz</w:t>
            </w:r>
          </w:p>
          <w:p>
            <w:pPr>
              <w:numPr>
                <w:ilvl w:val="1"/>
                <w:numId w:val="3"/>
              </w:numPr>
              <w:tabs>
                <w:tab w:val="left" w:pos="1440"/>
              </w:tabs>
              <w:overflowPunct w:val="0"/>
              <w:autoSpaceDE w:val="0"/>
              <w:autoSpaceDN w:val="0"/>
              <w:adjustRightInd w:val="0"/>
              <w:spacing w:after="0"/>
              <w:jc w:val="both"/>
              <w:rPr>
                <w:rFonts w:eastAsia="PMingLiU"/>
                <w:bCs/>
                <w:lang w:val="en-US"/>
              </w:rPr>
            </w:pPr>
            <w:r>
              <w:rPr>
                <w:rFonts w:eastAsia="PMingLiU"/>
                <w:bCs/>
                <w:lang w:val="en-US"/>
              </w:rPr>
              <w:t>For ITU regions 1 and 3</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Downlink 10.70 – 12.75 GHz</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Uplink 12.75 - 13.25 GHz</w:t>
            </w:r>
          </w:p>
          <w:p>
            <w:pPr>
              <w:numPr>
                <w:ilvl w:val="1"/>
                <w:numId w:val="3"/>
              </w:numPr>
              <w:tabs>
                <w:tab w:val="left" w:pos="1440"/>
              </w:tabs>
              <w:overflowPunct w:val="0"/>
              <w:autoSpaceDE w:val="0"/>
              <w:autoSpaceDN w:val="0"/>
              <w:adjustRightInd w:val="0"/>
              <w:spacing w:after="0"/>
              <w:jc w:val="both"/>
              <w:rPr>
                <w:rFonts w:eastAsia="PMingLiU"/>
                <w:bCs/>
                <w:lang w:val="en-US"/>
              </w:rPr>
            </w:pPr>
            <w:r>
              <w:rPr>
                <w:rFonts w:eastAsia="PMingLiU"/>
                <w:bCs/>
                <w:lang w:val="en-US"/>
              </w:rPr>
              <w:t xml:space="preserve">For ITU regions 2 </w:t>
            </w:r>
            <w:r>
              <w:rPr>
                <w:rFonts w:eastAsia="PMingLiU"/>
                <w:lang w:val="en-US"/>
              </w:rPr>
              <w:t>(The US is in scope for the WI using the current allocation of the Ku band. The band introduction in specification is pending FCC decision):</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Downlink 10.70 – 12.70 GHz</w:t>
            </w:r>
          </w:p>
          <w:p>
            <w:pPr>
              <w:numPr>
                <w:ilvl w:val="2"/>
                <w:numId w:val="3"/>
              </w:numPr>
              <w:tabs>
                <w:tab w:val="left" w:pos="2160"/>
              </w:tabs>
              <w:overflowPunct w:val="0"/>
              <w:autoSpaceDE w:val="0"/>
              <w:autoSpaceDN w:val="0"/>
              <w:adjustRightInd w:val="0"/>
              <w:spacing w:after="0"/>
              <w:jc w:val="both"/>
              <w:rPr>
                <w:rFonts w:eastAsia="PMingLiU"/>
                <w:bCs/>
                <w:lang w:val="en-US"/>
              </w:rPr>
            </w:pPr>
            <w:r>
              <w:rPr>
                <w:rFonts w:eastAsia="PMingLiU"/>
                <w:bCs/>
                <w:lang w:val="en-US"/>
              </w:rPr>
              <w:t>Uplink 12.70 - 13.25 GHz</w:t>
            </w:r>
          </w:p>
          <w:p>
            <w:pPr>
              <w:numPr>
                <w:ilvl w:val="1"/>
                <w:numId w:val="3"/>
              </w:numPr>
              <w:tabs>
                <w:tab w:val="left" w:pos="1440"/>
              </w:tabs>
              <w:overflowPunct w:val="0"/>
              <w:autoSpaceDE w:val="0"/>
              <w:autoSpaceDN w:val="0"/>
              <w:adjustRightInd w:val="0"/>
              <w:spacing w:after="0"/>
              <w:jc w:val="both"/>
              <w:rPr>
                <w:rFonts w:eastAsia="PMingLiU"/>
                <w:bCs/>
                <w:lang w:val="en-US"/>
              </w:rPr>
            </w:pPr>
            <w:r>
              <w:rPr>
                <w:rFonts w:eastAsia="PMingLiU"/>
                <w:bCs/>
                <w:lang w:val="en-US"/>
              </w:rPr>
              <w:t>Note: Appropriate Tx/Rx separation for uplink downlink pairing will be required.</w:t>
            </w:r>
          </w:p>
          <w:p>
            <w:pPr>
              <w:numPr>
                <w:ilvl w:val="0"/>
                <w:numId w:val="3"/>
              </w:numPr>
              <w:tabs>
                <w:tab w:val="left" w:pos="720"/>
              </w:tabs>
              <w:overflowPunct w:val="0"/>
              <w:autoSpaceDE w:val="0"/>
              <w:autoSpaceDN w:val="0"/>
              <w:adjustRightInd w:val="0"/>
              <w:spacing w:after="0"/>
              <w:jc w:val="both"/>
              <w:rPr>
                <w:rFonts w:eastAsia="PMingLiU"/>
                <w:bCs/>
                <w:lang w:val="en-US"/>
              </w:rPr>
            </w:pPr>
            <w:r>
              <w:rPr>
                <w:rFonts w:eastAsia="PMingLiU"/>
                <w:bCs/>
                <w:lang w:val="en-US"/>
              </w:rPr>
              <w:t>Conduct coexistence study. Reuse Ka band coexistence study assumptions as much as possible, with modifications where necessary, e.g. for coexistence scenario, frequency range and subcarrier spacing. Conduct new co-existence studies based on adjacent services.</w:t>
            </w:r>
          </w:p>
          <w:p>
            <w:pPr>
              <w:numPr>
                <w:ilvl w:val="0"/>
                <w:numId w:val="3"/>
              </w:numPr>
              <w:tabs>
                <w:tab w:val="left" w:pos="720"/>
              </w:tabs>
              <w:overflowPunct w:val="0"/>
              <w:autoSpaceDE w:val="0"/>
              <w:autoSpaceDN w:val="0"/>
              <w:adjustRightInd w:val="0"/>
              <w:spacing w:after="0"/>
              <w:jc w:val="both"/>
              <w:rPr>
                <w:rFonts w:eastAsia="PMingLiU"/>
                <w:bCs/>
                <w:lang w:val="en-US"/>
              </w:rPr>
            </w:pPr>
            <w:r>
              <w:rPr>
                <w:rFonts w:eastAsia="PMingLiU"/>
                <w:bCs/>
                <w:lang w:val="en-US"/>
              </w:rPr>
              <w:t>Specify RF requirements for mobile VSAT served by NGSO and GSO based on existing mobile VSAT type 5 RF requirements</w:t>
            </w:r>
          </w:p>
          <w:p>
            <w:pPr>
              <w:numPr>
                <w:ilvl w:val="0"/>
                <w:numId w:val="3"/>
              </w:numPr>
              <w:tabs>
                <w:tab w:val="left" w:pos="720"/>
              </w:tabs>
              <w:overflowPunct w:val="0"/>
              <w:autoSpaceDE w:val="0"/>
              <w:autoSpaceDN w:val="0"/>
              <w:adjustRightInd w:val="0"/>
              <w:spacing w:after="0"/>
              <w:jc w:val="both"/>
              <w:rPr>
                <w:rFonts w:eastAsia="PMingLiU"/>
                <w:bCs/>
                <w:lang w:val="en-US"/>
              </w:rPr>
            </w:pPr>
            <w:r>
              <w:rPr>
                <w:rFonts w:eastAsia="PMingLiU"/>
                <w:lang w:val="en-US"/>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29"/>
              <w:numPr>
                <w:ilvl w:val="0"/>
                <w:numId w:val="4"/>
              </w:numPr>
              <w:autoSpaceDN w:val="0"/>
              <w:spacing w:after="160" w:line="256" w:lineRule="auto"/>
              <w:contextualSpacing/>
              <w:jc w:val="both"/>
              <w:rPr>
                <w:sz w:val="20"/>
                <w:lang w:val="en-US"/>
              </w:rPr>
            </w:pPr>
            <w:r>
              <w:rPr>
                <w:sz w:val="20"/>
                <w:lang w:val="en-US"/>
              </w:rPr>
              <w:t>Priority 1: for all ITU regions, define Ku band #1a and #1b for the downlink block and uplink block B. D</w:t>
            </w:r>
            <w:r>
              <w:rPr>
                <w:sz w:val="20"/>
                <w:lang w:val="en-US" w:eastAsia="zh-TW"/>
              </w:rPr>
              <w:t>efine two sets of bands, one for FR1 numerology and the other for FR2 numerology, including the support of the following:</w:t>
            </w:r>
          </w:p>
          <w:p>
            <w:pPr>
              <w:pStyle w:val="29"/>
              <w:numPr>
                <w:ilvl w:val="1"/>
                <w:numId w:val="4"/>
              </w:numPr>
              <w:autoSpaceDN w:val="0"/>
              <w:spacing w:after="160" w:line="256" w:lineRule="auto"/>
              <w:contextualSpacing/>
              <w:jc w:val="both"/>
              <w:rPr>
                <w:sz w:val="20"/>
                <w:highlight w:val="yellow"/>
                <w:lang w:val="en-US"/>
              </w:rPr>
            </w:pPr>
            <w:r>
              <w:rPr>
                <w:sz w:val="20"/>
                <w:highlight w:val="yellow"/>
                <w:lang w:val="en-US"/>
              </w:rPr>
              <w:t>Ku band #1a and #1b as FR1-NTN supporting</w:t>
            </w:r>
            <w:r>
              <w:rPr>
                <w:sz w:val="20"/>
                <w:highlight w:val="yellow"/>
                <w:lang w:val="en-US" w:eastAsia="zh-TW"/>
              </w:rPr>
              <w:t xml:space="preserve"> </w:t>
            </w:r>
            <w:r>
              <w:rPr>
                <w:sz w:val="20"/>
                <w:highlight w:val="yellow"/>
                <w:lang w:val="en-US"/>
              </w:rPr>
              <w:t>10 MHz</w:t>
            </w:r>
            <w:r>
              <w:rPr>
                <w:sz w:val="20"/>
                <w:highlight w:val="yellow"/>
                <w:lang w:val="en-US" w:eastAsia="zh-TW"/>
              </w:rPr>
              <w:t>,</w:t>
            </w:r>
            <w:r>
              <w:rPr>
                <w:sz w:val="20"/>
                <w:highlight w:val="yellow"/>
                <w:lang w:val="en-US"/>
              </w:rPr>
              <w:t xml:space="preserve"> 20 MHz, 25 MHz, 35 MHz, 50 MHz, 70 MHz and 100 MHz channel bandwidths with 30 kHz subcarrier spacing, and 10MHz, 15MHz, 25MHz, 35MHz and 50MHz channel bandwidths with 15 kHz subcarrier spacing. </w:t>
            </w:r>
          </w:p>
          <w:p>
            <w:pPr>
              <w:pStyle w:val="29"/>
              <w:numPr>
                <w:ilvl w:val="2"/>
                <w:numId w:val="4"/>
              </w:numPr>
              <w:autoSpaceDN w:val="0"/>
              <w:spacing w:after="160" w:line="256" w:lineRule="auto"/>
              <w:contextualSpacing/>
              <w:jc w:val="both"/>
              <w:rPr>
                <w:sz w:val="20"/>
                <w:highlight w:val="yellow"/>
                <w:lang w:val="en-US"/>
              </w:rPr>
            </w:pPr>
            <w:r>
              <w:rPr>
                <w:sz w:val="20"/>
                <w:highlight w:val="yellow"/>
                <w:lang w:val="en-US"/>
              </w:rPr>
              <w:t>Note: Same subcarrier spacing is assumed for SSB and data channels</w:t>
            </w:r>
          </w:p>
          <w:p>
            <w:pPr>
              <w:pStyle w:val="29"/>
              <w:numPr>
                <w:ilvl w:val="1"/>
                <w:numId w:val="4"/>
              </w:numPr>
              <w:autoSpaceDN w:val="0"/>
              <w:spacing w:after="160" w:line="256" w:lineRule="auto"/>
              <w:contextualSpacing/>
              <w:jc w:val="both"/>
              <w:rPr>
                <w:sz w:val="20"/>
                <w:highlight w:val="yellow"/>
                <w:lang w:val="en-US"/>
              </w:rPr>
            </w:pPr>
            <w:r>
              <w:rPr>
                <w:sz w:val="20"/>
                <w:highlight w:val="yellow"/>
                <w:lang w:val="en-US"/>
              </w:rPr>
              <w:t>Ku band #1a and #1b as FR2-NTN supporting 50 MHz, 100 MHz, 200 MHz, 400 MHz (120kHz SCS only) channel bandwidths with 120 kHz subcarrier spacing</w:t>
            </w:r>
            <w:r>
              <w:rPr>
                <w:sz w:val="20"/>
                <w:highlight w:val="yellow"/>
                <w:lang w:val="en-US" w:eastAsia="zh-TW"/>
              </w:rPr>
              <w:t>.</w:t>
            </w:r>
          </w:p>
          <w:p>
            <w:pPr>
              <w:pStyle w:val="29"/>
              <w:numPr>
                <w:ilvl w:val="1"/>
                <w:numId w:val="4"/>
              </w:numPr>
              <w:autoSpaceDN w:val="0"/>
              <w:spacing w:after="160" w:line="256" w:lineRule="auto"/>
              <w:contextualSpacing/>
              <w:jc w:val="both"/>
              <w:rPr>
                <w:sz w:val="20"/>
                <w:highlight w:val="yellow"/>
                <w:lang w:val="en-US"/>
              </w:rPr>
            </w:pPr>
            <w:r>
              <w:rPr>
                <w:sz w:val="20"/>
                <w:highlight w:val="yellow"/>
                <w:lang w:val="en-US" w:eastAsia="zh-TW"/>
              </w:rPr>
              <w:t>Note: Simultaneous operation of FR1-NTN and FR2-NTN numerology is not supported in the UE</w:t>
            </w:r>
          </w:p>
          <w:p>
            <w:pPr>
              <w:pStyle w:val="29"/>
              <w:numPr>
                <w:ilvl w:val="0"/>
                <w:numId w:val="4"/>
              </w:numPr>
              <w:autoSpaceDN w:val="0"/>
              <w:spacing w:after="160" w:line="256" w:lineRule="auto"/>
              <w:contextualSpacing/>
              <w:jc w:val="both"/>
              <w:rPr>
                <w:sz w:val="20"/>
                <w:lang w:val="en-US"/>
              </w:rPr>
            </w:pPr>
            <w:r>
              <w:rPr>
                <w:sz w:val="20"/>
                <w:lang w:val="en-US"/>
              </w:rPr>
              <w:t>Priority 2: for all ITU regions excluding the US in region 2, using the approach in Priority 1, define Ku band #2a and #2b as appropriate for the downlink block and uplink block A.</w:t>
            </w:r>
          </w:p>
          <w:p>
            <w:pPr>
              <w:pStyle w:val="29"/>
              <w:numPr>
                <w:ilvl w:val="0"/>
                <w:numId w:val="4"/>
              </w:numPr>
              <w:autoSpaceDN w:val="0"/>
              <w:spacing w:after="0" w:line="256" w:lineRule="auto"/>
              <w:contextualSpacing/>
              <w:jc w:val="both"/>
              <w:rPr>
                <w:sz w:val="20"/>
                <w:highlight w:val="yellow"/>
                <w:lang w:val="en-US"/>
              </w:rPr>
            </w:pPr>
            <w:r>
              <w:rPr>
                <w:sz w:val="20"/>
                <w:highlight w:val="yellow"/>
                <w:lang w:val="en-US"/>
              </w:rPr>
              <w:t>Specify RRM requirements including timing requirements for mobile VSAT served by NGSO</w:t>
            </w:r>
          </w:p>
          <w:p>
            <w:pPr>
              <w:pStyle w:val="29"/>
              <w:numPr>
                <w:ilvl w:val="1"/>
                <w:numId w:val="4"/>
              </w:numPr>
              <w:autoSpaceDN w:val="0"/>
              <w:spacing w:after="0" w:line="256" w:lineRule="auto"/>
              <w:contextualSpacing/>
              <w:jc w:val="both"/>
              <w:rPr>
                <w:sz w:val="20"/>
                <w:highlight w:val="yellow"/>
                <w:lang w:val="en-US"/>
              </w:rPr>
            </w:pPr>
            <w:r>
              <w:rPr>
                <w:sz w:val="20"/>
                <w:highlight w:val="yellow"/>
                <w:lang w:val="en-US"/>
              </w:rPr>
              <w:t>NOTE:</w:t>
            </w:r>
            <w:r>
              <w:rPr>
                <w:sz w:val="20"/>
                <w:highlight w:val="yellow"/>
                <w:lang w:val="en-US"/>
              </w:rPr>
              <w:tab/>
            </w:r>
            <w:r>
              <w:rPr>
                <w:sz w:val="20"/>
                <w:highlight w:val="yellow"/>
                <w:lang w:val="en-US"/>
              </w:rPr>
              <w:t>RRM requirements are defined for VSAT supporting FR1-NTN operation only, or for FR2-NTN operation only.</w:t>
            </w:r>
          </w:p>
          <w:p>
            <w:pPr>
              <w:spacing w:after="0"/>
              <w:ind w:left="360"/>
              <w:rPr>
                <w:rFonts w:eastAsia="宋体"/>
              </w:rPr>
            </w:pPr>
          </w:p>
        </w:tc>
      </w:tr>
    </w:tbl>
    <w:p>
      <w:pPr>
        <w:pStyle w:val="77"/>
        <w:rPr>
          <w:lang w:val="en-US" w:eastAsia="zh-CN"/>
        </w:rPr>
      </w:pPr>
      <w:r>
        <w:rPr>
          <w:lang w:val="en-US"/>
        </w:rPr>
        <w:t>Discussion</w:t>
      </w:r>
    </w:p>
    <w:p>
      <w:pPr>
        <w:jc w:val="both"/>
        <w:rPr>
          <w:lang w:val="en-US" w:eastAsia="zh-CN"/>
        </w:rPr>
      </w:pPr>
      <w:r>
        <w:rPr>
          <w:rFonts w:hint="eastAsia"/>
          <w:lang w:val="en-US" w:eastAsia="zh-CN"/>
        </w:rPr>
        <w:t xml:space="preserve">In the last meeting, RAN4 </w:t>
      </w:r>
      <w:r>
        <w:rPr>
          <w:lang w:val="en-US" w:eastAsia="zh-CN"/>
        </w:rPr>
        <w:t>have</w:t>
      </w:r>
      <w:r>
        <w:rPr>
          <w:rFonts w:hint="eastAsia"/>
          <w:lang w:val="en-US" w:eastAsia="zh-CN"/>
        </w:rPr>
        <w:t xml:space="preserve"> discussed the </w:t>
      </w:r>
      <w:r>
        <w:rPr>
          <w:lang w:val="en-US" w:eastAsia="zh-CN"/>
        </w:rPr>
        <w:t>most issues</w:t>
      </w:r>
      <w:r>
        <w:rPr>
          <w:rFonts w:hint="eastAsia"/>
          <w:lang w:val="en-US" w:eastAsia="zh-CN"/>
        </w:rPr>
        <w:t xml:space="preserve"> for NR NTN on Ku bands. In this paper, we will provide the other potential RRM requirements for NR NTN on Ku bands. </w:t>
      </w:r>
    </w:p>
    <w:p>
      <w:pPr>
        <w:pStyle w:val="79"/>
        <w:numPr>
          <w:ilvl w:val="1"/>
          <w:numId w:val="0"/>
        </w:numPr>
        <w:rPr>
          <w:lang w:eastAsia="zh-CN"/>
        </w:rPr>
      </w:pPr>
      <w:r>
        <w:rPr>
          <w:rFonts w:hint="eastAsia"/>
          <w:lang w:eastAsia="zh-CN"/>
        </w:rPr>
        <w:t xml:space="preserve">2.1 </w:t>
      </w:r>
      <w:r>
        <w:rPr>
          <w:lang w:eastAsia="zh-CN"/>
        </w:rPr>
        <w:t>Assumption for defining RRM requirements in Ku-band NTN</w:t>
      </w:r>
    </w:p>
    <w:p>
      <w:pPr>
        <w:rPr>
          <w:rFonts w:eastAsiaTheme="minorEastAsia"/>
          <w:lang w:val="en-US" w:eastAsia="zh-CN"/>
        </w:rPr>
      </w:pPr>
      <w:r>
        <w:rPr>
          <w:rFonts w:eastAsiaTheme="minorEastAsia"/>
          <w:lang w:val="en-US" w:eastAsia="zh-CN"/>
        </w:rPr>
        <w:t>In previous meetings, we did not spend any time on discussing the assumption for defining RRM requirements in Ku band NTN. In this meeting, we would like to provide our views on this issue. First of all, we could see the following candidate options: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21"/>
              <w:numPr>
                <w:ilvl w:val="0"/>
                <w:numId w:val="5"/>
              </w:numPr>
              <w:ind w:left="360"/>
              <w:rPr>
                <w:rFonts w:eastAsia="等线"/>
                <w:bCs/>
                <w:lang w:val="en-US" w:eastAsia="zh-CN"/>
              </w:rPr>
            </w:pPr>
            <w:r>
              <w:rPr>
                <w:rFonts w:eastAsia="等线"/>
                <w:bCs/>
              </w:rPr>
              <w:t>Option 1: (LGE)</w:t>
            </w:r>
          </w:p>
          <w:p>
            <w:pPr>
              <w:pStyle w:val="21"/>
              <w:numPr>
                <w:ilvl w:val="1"/>
                <w:numId w:val="5"/>
              </w:numPr>
              <w:ind w:left="1080"/>
              <w:rPr>
                <w:rFonts w:eastAsia="等线"/>
                <w:bCs/>
              </w:rPr>
            </w:pPr>
            <w:r>
              <w:rPr>
                <w:rFonts w:hint="eastAsia" w:eastAsia="等线"/>
                <w:bCs/>
              </w:rPr>
              <w:t xml:space="preserve">The same assumptions considered for Rel-18 Ka-band RRM requirements should apply to Ku-band RRM requirements for both </w:t>
            </w:r>
            <w:r>
              <w:rPr>
                <w:color w:val="000000"/>
              </w:rPr>
              <w:t>FR1-NTN and FR2-NTN numerologies;</w:t>
            </w:r>
          </w:p>
          <w:p>
            <w:pPr>
              <w:pStyle w:val="21"/>
              <w:numPr>
                <w:ilvl w:val="0"/>
                <w:numId w:val="6"/>
              </w:numPr>
              <w:ind w:left="1625" w:hanging="284"/>
              <w:rPr>
                <w:rFonts w:eastAsia="宋体"/>
              </w:rPr>
            </w:pPr>
            <w:r>
              <w:t>Single SAN Tx beam per radio cell in DL</w:t>
            </w:r>
          </w:p>
          <w:p>
            <w:pPr>
              <w:pStyle w:val="21"/>
              <w:numPr>
                <w:ilvl w:val="0"/>
                <w:numId w:val="6"/>
              </w:numPr>
              <w:ind w:left="1625" w:hanging="284"/>
            </w:pPr>
            <w:r>
              <w:t>For inter satellite HO, only blind HO and no neighbor cell measurement</w:t>
            </w:r>
          </w:p>
          <w:p>
            <w:pPr>
              <w:pStyle w:val="21"/>
              <w:numPr>
                <w:ilvl w:val="0"/>
                <w:numId w:val="6"/>
              </w:numPr>
              <w:ind w:left="1625" w:hanging="284"/>
            </w:pPr>
            <w:r>
              <w:t>Intra satellite neighbor cell measurement is needed</w:t>
            </w:r>
          </w:p>
          <w:p>
            <w:pPr>
              <w:pStyle w:val="21"/>
              <w:numPr>
                <w:ilvl w:val="0"/>
                <w:numId w:val="6"/>
              </w:numPr>
              <w:ind w:left="1625" w:hanging="284"/>
            </w:pPr>
            <w:r>
              <w:t>Same UE Rx beam is used for both serving and neighboring cells which belong to the same satellite (i.e., no Rx beam sweeping)</w:t>
            </w:r>
          </w:p>
          <w:p>
            <w:pPr>
              <w:pStyle w:val="21"/>
              <w:numPr>
                <w:ilvl w:val="0"/>
                <w:numId w:val="5"/>
              </w:numPr>
              <w:ind w:left="360"/>
              <w:rPr>
                <w:rFonts w:hint="eastAsia" w:eastAsia="等线"/>
                <w:bCs/>
              </w:rPr>
            </w:pPr>
            <w:r>
              <w:rPr>
                <w:rFonts w:eastAsia="等线"/>
                <w:bCs/>
              </w:rPr>
              <w:t>Option 2: other options are not precluded.</w:t>
            </w:r>
          </w:p>
        </w:tc>
      </w:tr>
    </w:tbl>
    <w:p>
      <w:pPr>
        <w:spacing w:before="120" w:beforeLines="50" w:after="120" w:afterLines="50"/>
        <w:rPr>
          <w:rFonts w:eastAsiaTheme="minorEastAsia"/>
          <w:lang w:val="en-US" w:eastAsia="zh-CN"/>
        </w:rPr>
      </w:pPr>
      <w:r>
        <w:rPr>
          <w:rFonts w:eastAsiaTheme="minorEastAsia"/>
          <w:lang w:val="en-US" w:eastAsia="zh-CN"/>
        </w:rPr>
        <w:t xml:space="preserve">We understand the motivation of this issue, the company deems that the UE type of Ka band and Ku band are same , the same assumption considered in R18 can be considered for Ku band NTN. However, from our perspective, this issue shall be discussed in other specific issues instead of discussing these dependently. </w:t>
      </w:r>
    </w:p>
    <w:p>
      <w:pPr>
        <w:spacing w:before="120" w:beforeLines="50" w:after="120" w:afterLines="50"/>
        <w:rPr>
          <w:rFonts w:eastAsiaTheme="minorEastAsia"/>
          <w:b/>
          <w:lang w:val="en-US" w:eastAsia="zh-CN"/>
        </w:rPr>
      </w:pPr>
      <w:r>
        <w:rPr>
          <w:rFonts w:eastAsiaTheme="minorEastAsia"/>
          <w:b/>
          <w:lang w:val="en-US" w:eastAsia="zh-CN"/>
        </w:rPr>
        <w:t>Proposal 1: Assumption for defining RRM requirements shall be discussed in other specific issues instead of discussing these dependently.</w:t>
      </w:r>
    </w:p>
    <w:p>
      <w:pPr>
        <w:pStyle w:val="79"/>
        <w:numPr>
          <w:ilvl w:val="1"/>
          <w:numId w:val="0"/>
        </w:numPr>
        <w:rPr>
          <w:lang w:eastAsia="zh-CN"/>
        </w:rPr>
      </w:pPr>
      <w:r>
        <w:rPr>
          <w:rFonts w:hint="eastAsia"/>
          <w:lang w:eastAsia="zh-CN"/>
        </w:rPr>
        <w:t xml:space="preserve">2.2 </w:t>
      </w:r>
      <w:r>
        <w:rPr>
          <w:lang w:eastAsia="zh-CN"/>
        </w:rPr>
        <w:t>Satellite switch requirements</w:t>
      </w:r>
    </w:p>
    <w:p>
      <w:pPr>
        <w:spacing w:before="120" w:beforeLines="50" w:after="120" w:afterLines="50"/>
        <w:rPr>
          <w:rFonts w:eastAsiaTheme="minorEastAsia"/>
          <w:lang w:val="en-US" w:eastAsia="zh-CN"/>
        </w:rPr>
      </w:pPr>
      <w:r>
        <w:rPr>
          <w:rFonts w:eastAsiaTheme="minorEastAsia"/>
          <w:lang w:val="en-US" w:eastAsia="zh-CN"/>
        </w:rPr>
        <w:t>In the last meeting, RAN4 has discussed the satellite switch delay requirements including hard satellite switch and soft satellite switch, the agreements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snapToGrid w:val="0"/>
              <w:spacing w:after="120"/>
              <w:rPr>
                <w:color w:val="000000"/>
                <w:u w:val="single"/>
                <w:lang w:val="en-US" w:eastAsia="zh-CN"/>
              </w:rPr>
            </w:pPr>
            <w:r>
              <w:rPr>
                <w:color w:val="000000"/>
                <w:u w:val="single"/>
              </w:rPr>
              <w:t xml:space="preserve">Agreement: </w:t>
            </w:r>
          </w:p>
          <w:p>
            <w:pPr>
              <w:numPr>
                <w:ilvl w:val="0"/>
                <w:numId w:val="7"/>
              </w:numPr>
              <w:overflowPunct w:val="0"/>
              <w:autoSpaceDE w:val="0"/>
              <w:autoSpaceDN w:val="0"/>
              <w:adjustRightInd w:val="0"/>
              <w:snapToGrid w:val="0"/>
              <w:spacing w:after="120"/>
              <w:textAlignment w:val="baseline"/>
              <w:rPr>
                <w:bCs/>
                <w:color w:val="000000"/>
                <w:sz w:val="21"/>
                <w:szCs w:val="21"/>
              </w:rPr>
            </w:pPr>
            <w:r>
              <w:rPr>
                <w:color w:val="000000"/>
                <w:sz w:val="21"/>
                <w:szCs w:val="21"/>
              </w:rPr>
              <w:t xml:space="preserve">Introduce RRM requirement for satellite switching with re-sync for </w:t>
            </w:r>
            <w:r>
              <w:rPr>
                <w:b/>
                <w:color w:val="000000"/>
                <w:sz w:val="21"/>
                <w:szCs w:val="21"/>
              </w:rPr>
              <w:t>Ku</w:t>
            </w:r>
            <w:r>
              <w:rPr>
                <w:color w:val="000000"/>
                <w:sz w:val="21"/>
                <w:szCs w:val="21"/>
              </w:rPr>
              <w:t xml:space="preserve"> band </w:t>
            </w:r>
            <w:r>
              <w:rPr>
                <w:color w:val="000000"/>
                <w:sz w:val="21"/>
                <w:szCs w:val="21"/>
                <w:u w:val="single"/>
              </w:rPr>
              <w:t>with VSAT UE for FR1 and FR2 numerologies</w:t>
            </w:r>
          </w:p>
          <w:p>
            <w:pPr>
              <w:numPr>
                <w:ilvl w:val="1"/>
                <w:numId w:val="7"/>
              </w:numPr>
              <w:overflowPunct w:val="0"/>
              <w:autoSpaceDE w:val="0"/>
              <w:autoSpaceDN w:val="0"/>
              <w:adjustRightInd w:val="0"/>
              <w:snapToGrid w:val="0"/>
              <w:spacing w:after="120"/>
              <w:textAlignment w:val="baseline"/>
              <w:rPr>
                <w:color w:val="000000"/>
                <w:sz w:val="21"/>
                <w:szCs w:val="21"/>
              </w:rPr>
            </w:pPr>
            <w:r>
              <w:rPr>
                <w:sz w:val="21"/>
                <w:szCs w:val="21"/>
              </w:rPr>
              <w:t>Define requirement for hard satellite switch,</w:t>
            </w:r>
          </w:p>
          <w:p>
            <w:pPr>
              <w:numPr>
                <w:ilvl w:val="2"/>
                <w:numId w:val="7"/>
              </w:numPr>
              <w:overflowPunct w:val="0"/>
              <w:autoSpaceDE w:val="0"/>
              <w:autoSpaceDN w:val="0"/>
              <w:adjustRightInd w:val="0"/>
              <w:snapToGrid w:val="0"/>
              <w:spacing w:after="120"/>
              <w:textAlignment w:val="baseline"/>
              <w:rPr>
                <w:color w:val="000000"/>
                <w:sz w:val="21"/>
                <w:szCs w:val="21"/>
              </w:rPr>
            </w:pPr>
            <w:r>
              <w:rPr>
                <w:sz w:val="21"/>
                <w:szCs w:val="21"/>
              </w:rPr>
              <w:t>T</w:t>
            </w:r>
            <w:r>
              <w:rPr>
                <w:sz w:val="21"/>
                <w:szCs w:val="21"/>
                <w:vertAlign w:val="subscript"/>
              </w:rPr>
              <w:t>interrupt</w:t>
            </w:r>
            <w:r>
              <w:rPr>
                <w:sz w:val="21"/>
                <w:szCs w:val="21"/>
              </w:rPr>
              <w:t xml:space="preserve"> = T</w:t>
            </w:r>
            <w:r>
              <w:rPr>
                <w:sz w:val="21"/>
                <w:szCs w:val="21"/>
                <w:vertAlign w:val="subscript"/>
              </w:rPr>
              <w:t>sat_beam</w:t>
            </w:r>
            <w:r>
              <w:rPr>
                <w:sz w:val="21"/>
                <w:szCs w:val="21"/>
              </w:rPr>
              <w:t xml:space="preserve"> + T</w:t>
            </w:r>
            <w:r>
              <w:rPr>
                <w:sz w:val="21"/>
                <w:szCs w:val="21"/>
                <w:vertAlign w:val="subscript"/>
              </w:rPr>
              <w:t>search</w:t>
            </w:r>
            <w:r>
              <w:rPr>
                <w:sz w:val="21"/>
                <w:szCs w:val="21"/>
              </w:rPr>
              <w:t xml:space="preserve"> + T</w:t>
            </w:r>
            <w:r>
              <w:rPr>
                <w:sz w:val="21"/>
                <w:szCs w:val="21"/>
                <w:vertAlign w:val="subscript"/>
              </w:rPr>
              <w:t>processing</w:t>
            </w:r>
            <w:r>
              <w:rPr>
                <w:sz w:val="21"/>
                <w:szCs w:val="21"/>
              </w:rPr>
              <w:t xml:space="preserve"> + T</w:t>
            </w:r>
            <w:r>
              <w:rPr>
                <w:sz w:val="21"/>
                <w:szCs w:val="21"/>
                <w:vertAlign w:val="subscript"/>
              </w:rPr>
              <w:t>∆</w:t>
            </w:r>
            <w:r>
              <w:rPr>
                <w:sz w:val="21"/>
                <w:szCs w:val="21"/>
              </w:rPr>
              <w:t xml:space="preserve"> + T</w:t>
            </w:r>
            <w:r>
              <w:rPr>
                <w:sz w:val="21"/>
                <w:szCs w:val="21"/>
                <w:vertAlign w:val="subscript"/>
              </w:rPr>
              <w:t xml:space="preserve">margin </w:t>
            </w:r>
            <w:r>
              <w:rPr>
                <w:sz w:val="21"/>
                <w:szCs w:val="21"/>
              </w:rPr>
              <w:t>ms</w:t>
            </w:r>
          </w:p>
          <w:p>
            <w:pPr>
              <w:numPr>
                <w:ilvl w:val="3"/>
                <w:numId w:val="7"/>
              </w:numPr>
              <w:overflowPunct w:val="0"/>
              <w:autoSpaceDE w:val="0"/>
              <w:autoSpaceDN w:val="0"/>
              <w:adjustRightInd w:val="0"/>
              <w:snapToGrid w:val="0"/>
              <w:spacing w:after="120"/>
              <w:textAlignment w:val="baseline"/>
              <w:rPr>
                <w:color w:val="000000"/>
                <w:sz w:val="21"/>
                <w:szCs w:val="21"/>
              </w:rPr>
            </w:pPr>
            <w:r>
              <w:rPr>
                <w:color w:val="000000"/>
                <w:sz w:val="21"/>
                <w:szCs w:val="21"/>
              </w:rPr>
              <w:t>Further discuss the details on the definition of each component.</w:t>
            </w:r>
          </w:p>
          <w:p>
            <w:pPr>
              <w:numPr>
                <w:ilvl w:val="1"/>
                <w:numId w:val="7"/>
              </w:numPr>
              <w:overflowPunct w:val="0"/>
              <w:autoSpaceDE w:val="0"/>
              <w:autoSpaceDN w:val="0"/>
              <w:adjustRightInd w:val="0"/>
              <w:snapToGrid w:val="0"/>
              <w:spacing w:after="120"/>
              <w:textAlignment w:val="baseline"/>
              <w:rPr>
                <w:color w:val="000000"/>
                <w:sz w:val="21"/>
                <w:szCs w:val="21"/>
              </w:rPr>
            </w:pPr>
            <w:r>
              <w:rPr>
                <w:sz w:val="21"/>
                <w:szCs w:val="21"/>
              </w:rPr>
              <w:t>FFS whether to define requirements for soft satellite switch</w:t>
            </w:r>
          </w:p>
          <w:p>
            <w:pPr>
              <w:numPr>
                <w:ilvl w:val="2"/>
                <w:numId w:val="7"/>
              </w:numPr>
              <w:overflowPunct w:val="0"/>
              <w:autoSpaceDE w:val="0"/>
              <w:autoSpaceDN w:val="0"/>
              <w:adjustRightInd w:val="0"/>
              <w:snapToGrid w:val="0"/>
              <w:spacing w:after="120"/>
              <w:textAlignment w:val="baseline"/>
              <w:rPr>
                <w:color w:val="000000"/>
                <w:sz w:val="21"/>
                <w:szCs w:val="21"/>
              </w:rPr>
            </w:pPr>
            <w:r>
              <w:rPr>
                <w:color w:val="000000"/>
                <w:sz w:val="21"/>
                <w:szCs w:val="21"/>
              </w:rPr>
              <w:t>FFS only switching delay requirement or both switching delay requirement and scheduling restriction requirement</w:t>
            </w:r>
          </w:p>
          <w:p>
            <w:pPr>
              <w:numPr>
                <w:ilvl w:val="2"/>
                <w:numId w:val="7"/>
              </w:numPr>
              <w:overflowPunct w:val="0"/>
              <w:autoSpaceDE w:val="0"/>
              <w:autoSpaceDN w:val="0"/>
              <w:adjustRightInd w:val="0"/>
              <w:snapToGrid w:val="0"/>
              <w:spacing w:after="120"/>
              <w:textAlignment w:val="baseline"/>
              <w:rPr>
                <w:color w:val="000000"/>
                <w:sz w:val="21"/>
                <w:szCs w:val="21"/>
              </w:rPr>
            </w:pPr>
            <w:r>
              <w:rPr>
                <w:sz w:val="21"/>
                <w:szCs w:val="21"/>
              </w:rPr>
              <w:t xml:space="preserve">Option for the delay requirement: </w:t>
            </w:r>
          </w:p>
          <w:p>
            <w:pPr>
              <w:numPr>
                <w:ilvl w:val="3"/>
                <w:numId w:val="7"/>
              </w:numPr>
              <w:overflowPunct w:val="0"/>
              <w:autoSpaceDE w:val="0"/>
              <w:autoSpaceDN w:val="0"/>
              <w:adjustRightInd w:val="0"/>
              <w:snapToGrid w:val="0"/>
              <w:spacing w:after="120"/>
              <w:textAlignment w:val="baseline"/>
              <w:rPr>
                <w:rFonts w:hint="eastAsia"/>
                <w:color w:val="000000"/>
                <w:sz w:val="21"/>
                <w:szCs w:val="21"/>
              </w:rPr>
            </w:pPr>
            <w:r>
              <w:rPr>
                <w:sz w:val="21"/>
                <w:szCs w:val="21"/>
              </w:rPr>
              <w:t>T</w:t>
            </w:r>
            <w:r>
              <w:rPr>
                <w:sz w:val="21"/>
                <w:szCs w:val="21"/>
                <w:vertAlign w:val="subscript"/>
              </w:rPr>
              <w:t>soft_switch</w:t>
            </w:r>
            <w:r>
              <w:rPr>
                <w:sz w:val="21"/>
                <w:szCs w:val="21"/>
              </w:rPr>
              <w:t xml:space="preserve"> = max(</w:t>
            </w:r>
            <w:r>
              <w:rPr>
                <w:i/>
                <w:sz w:val="21"/>
                <w:szCs w:val="21"/>
              </w:rPr>
              <w:t>t-service</w:t>
            </w:r>
            <w:r>
              <w:rPr>
                <w:rFonts w:eastAsia="PMingLiU"/>
                <w:i/>
                <w:sz w:val="21"/>
                <w:szCs w:val="21"/>
              </w:rPr>
              <w:t xml:space="preserve"> </w:t>
            </w:r>
            <w:r>
              <w:rPr>
                <w:sz w:val="21"/>
                <w:szCs w:val="21"/>
              </w:rPr>
              <w:t>-</w:t>
            </w:r>
            <w:r>
              <w:rPr>
                <w:rFonts w:eastAsia="PMingLiU"/>
                <w:sz w:val="21"/>
                <w:szCs w:val="21"/>
              </w:rPr>
              <w:t xml:space="preserve"> </w:t>
            </w:r>
            <w:r>
              <w:rPr>
                <w:i/>
                <w:sz w:val="21"/>
                <w:szCs w:val="21"/>
              </w:rPr>
              <w:t>t-serviceStart</w:t>
            </w:r>
            <w:r>
              <w:rPr>
                <w:sz w:val="21"/>
                <w:szCs w:val="21"/>
              </w:rPr>
              <w:t>, T</w:t>
            </w:r>
            <w:r>
              <w:rPr>
                <w:sz w:val="21"/>
                <w:szCs w:val="21"/>
                <w:vertAlign w:val="subscript"/>
              </w:rPr>
              <w:t>sat_beam</w:t>
            </w:r>
            <w:r>
              <w:rPr>
                <w:sz w:val="21"/>
                <w:szCs w:val="21"/>
              </w:rPr>
              <w:t xml:space="preserve"> + T</w:t>
            </w:r>
            <w:r>
              <w:rPr>
                <w:sz w:val="21"/>
                <w:szCs w:val="21"/>
                <w:vertAlign w:val="subscript"/>
              </w:rPr>
              <w:t>search</w:t>
            </w:r>
            <w:r>
              <w:rPr>
                <w:sz w:val="21"/>
                <w:szCs w:val="21"/>
              </w:rPr>
              <w:t xml:space="preserve"> + T</w:t>
            </w:r>
            <w:r>
              <w:rPr>
                <w:sz w:val="21"/>
                <w:szCs w:val="21"/>
                <w:vertAlign w:val="subscript"/>
              </w:rPr>
              <w:t>∆</w:t>
            </w:r>
            <w:r>
              <w:rPr>
                <w:sz w:val="21"/>
                <w:szCs w:val="21"/>
              </w:rPr>
              <w:t xml:space="preserve"> + T</w:t>
            </w:r>
            <w:r>
              <w:rPr>
                <w:sz w:val="21"/>
                <w:szCs w:val="21"/>
                <w:vertAlign w:val="subscript"/>
              </w:rPr>
              <w:t>margin</w:t>
            </w:r>
            <w:r>
              <w:rPr>
                <w:sz w:val="21"/>
                <w:szCs w:val="21"/>
              </w:rPr>
              <w:t>) + T</w:t>
            </w:r>
            <w:r>
              <w:rPr>
                <w:sz w:val="21"/>
                <w:szCs w:val="21"/>
                <w:vertAlign w:val="subscript"/>
              </w:rPr>
              <w:t>processing</w:t>
            </w:r>
            <w:r>
              <w:rPr>
                <w:sz w:val="21"/>
                <w:szCs w:val="21"/>
              </w:rPr>
              <w:t xml:space="preserve"> </w:t>
            </w:r>
            <w:r>
              <w:rPr>
                <w:sz w:val="21"/>
                <w:szCs w:val="21"/>
                <w:vertAlign w:val="subscript"/>
              </w:rPr>
              <w:t xml:space="preserve"> </w:t>
            </w:r>
            <w:r>
              <w:rPr>
                <w:sz w:val="21"/>
                <w:szCs w:val="21"/>
              </w:rPr>
              <w:t>ms</w:t>
            </w:r>
          </w:p>
        </w:tc>
      </w:tr>
    </w:tbl>
    <w:p>
      <w:pPr>
        <w:spacing w:before="120" w:beforeLines="50" w:after="120" w:afterLines="50"/>
        <w:rPr>
          <w:rFonts w:eastAsiaTheme="minorEastAsia"/>
          <w:lang w:val="en-US" w:eastAsia="zh-CN"/>
        </w:rPr>
      </w:pPr>
      <w:r>
        <w:rPr>
          <w:rFonts w:eastAsiaTheme="minorEastAsia"/>
          <w:lang w:val="en-US" w:eastAsia="zh-CN"/>
        </w:rPr>
        <w:t>We have agreed that at least the hard satellite switch will be considered and the switching requirements has already defined in last meeting. The agreement above suggests us to further discuss the details on the definition of each component. From our perspective, the formulation only adds T</w:t>
      </w:r>
      <w:r>
        <w:rPr>
          <w:rFonts w:eastAsiaTheme="minorEastAsia"/>
          <w:vertAlign w:val="subscript"/>
          <w:lang w:val="en-US" w:eastAsia="zh-CN"/>
        </w:rPr>
        <w:t>SAT_beam</w:t>
      </w:r>
      <w:r>
        <w:rPr>
          <w:rFonts w:eastAsiaTheme="minorEastAsia"/>
          <w:lang w:val="en-US" w:eastAsia="zh-CN"/>
        </w:rPr>
        <w:t>, which reused from inter-satellite handover requirements. Consequently, the new component refer to inter-satellite handover. The other components refer to legacy hard satellite switching requirements.</w:t>
      </w:r>
    </w:p>
    <w:p>
      <w:pPr>
        <w:spacing w:before="120" w:beforeLines="50" w:after="120" w:afterLines="50"/>
        <w:rPr>
          <w:rFonts w:eastAsiaTheme="minorEastAsia"/>
          <w:b/>
          <w:lang w:val="en-US" w:eastAsia="zh-CN"/>
        </w:rPr>
      </w:pPr>
      <w:r>
        <w:rPr>
          <w:rFonts w:eastAsiaTheme="minorEastAsia"/>
          <w:b/>
          <w:lang w:val="en-US" w:eastAsia="zh-CN"/>
        </w:rPr>
        <w:t>Observation 1: The formulation only adds T</w:t>
      </w:r>
      <w:r>
        <w:rPr>
          <w:rFonts w:eastAsiaTheme="minorEastAsia"/>
          <w:b/>
          <w:vertAlign w:val="subscript"/>
          <w:lang w:val="en-US" w:eastAsia="zh-CN"/>
        </w:rPr>
        <w:t>SAT_beam</w:t>
      </w:r>
      <w:r>
        <w:rPr>
          <w:rFonts w:eastAsiaTheme="minorEastAsia"/>
          <w:b/>
          <w:lang w:val="en-US" w:eastAsia="zh-CN"/>
        </w:rPr>
        <w:t>, which reused from inter-satellite handover requirements. The other components refer to legacy hard satellite switching requirements.</w:t>
      </w:r>
    </w:p>
    <w:p>
      <w:pPr>
        <w:spacing w:before="120" w:beforeLines="50" w:after="120" w:afterLines="50"/>
        <w:rPr>
          <w:rFonts w:eastAsiaTheme="minorEastAsia"/>
          <w:b/>
          <w:lang w:val="en-US" w:eastAsia="zh-CN"/>
        </w:rPr>
      </w:pPr>
      <w:r>
        <w:rPr>
          <w:rFonts w:eastAsiaTheme="minorEastAsia"/>
          <w:b/>
          <w:lang w:val="en-US" w:eastAsia="zh-CN"/>
        </w:rPr>
        <w:t>Proposal 2: The components in hard satellite switching delay requirements refer to legacy hard satellite switching delay and inter satellite handover delay.</w:t>
      </w:r>
    </w:p>
    <w:p>
      <w:pPr>
        <w:spacing w:before="120" w:beforeLines="50" w:after="120" w:afterLines="50"/>
        <w:rPr>
          <w:rFonts w:eastAsiaTheme="minorEastAsia"/>
          <w:lang w:val="en-US" w:eastAsia="zh-CN"/>
        </w:rPr>
      </w:pPr>
      <w:r>
        <w:rPr>
          <w:rFonts w:eastAsiaTheme="minorEastAsia"/>
          <w:lang w:val="en-US" w:eastAsia="zh-CN"/>
        </w:rPr>
        <w:t>F</w:t>
      </w:r>
      <w:r>
        <w:rPr>
          <w:rFonts w:hint="eastAsia" w:eastAsiaTheme="minorEastAsia"/>
          <w:lang w:val="en-US" w:eastAsia="zh-CN"/>
        </w:rPr>
        <w:t>or</w:t>
      </w:r>
      <w:r>
        <w:rPr>
          <w:rFonts w:eastAsiaTheme="minorEastAsia"/>
          <w:lang w:val="en-US" w:eastAsia="zh-CN"/>
        </w:rPr>
        <w:t xml:space="preserve"> soft satellite switch on VSAT UE, some companies mentioned that there is no satellite switching delay requirements defined on Ka band. The same manner shall also be considered, that is, RAN4 shall not define the satellite switching delay requirements on Ku band. If defined, only hard satellite switching delay requirements could be considered. </w:t>
      </w:r>
      <w:r>
        <w:rPr>
          <w:rFonts w:hint="eastAsia" w:eastAsiaTheme="minorEastAsia"/>
          <w:lang w:val="en-US" w:eastAsia="zh-CN"/>
        </w:rPr>
        <w:t>H</w:t>
      </w:r>
      <w:r>
        <w:rPr>
          <w:rFonts w:eastAsiaTheme="minorEastAsia"/>
          <w:lang w:val="en-US" w:eastAsia="zh-CN"/>
        </w:rPr>
        <w:t>owever, some companies deem that we could define requirements only for Ku band without considering Ka band. From our perspective, we need to be cautious when defining soft satellite switch on Ku band.</w:t>
      </w:r>
      <w:r>
        <w:rPr>
          <w:rFonts w:hint="eastAsia" w:eastAsiaTheme="minorEastAsia"/>
          <w:lang w:val="en-US" w:eastAsia="zh-CN"/>
        </w:rPr>
        <w:t xml:space="preserve"> </w:t>
      </w:r>
    </w:p>
    <w:p>
      <w:pPr>
        <w:spacing w:before="120" w:beforeLines="50" w:after="120" w:afterLines="50"/>
        <w:rPr>
          <w:rFonts w:hint="eastAsia" w:eastAsiaTheme="minorEastAsia"/>
          <w:lang w:val="en-US" w:eastAsia="zh-CN"/>
        </w:rPr>
      </w:pPr>
      <w:r>
        <w:rPr>
          <w:rFonts w:eastAsiaTheme="minorEastAsia"/>
          <w:lang w:val="en-US" w:eastAsia="zh-CN"/>
        </w:rPr>
        <w:t>There are two issues shall be considered:</w:t>
      </w:r>
      <w:r>
        <w:rPr>
          <w:rFonts w:eastAsiaTheme="minorEastAsia"/>
          <w:lang w:val="en-US" w:eastAsia="zh-CN"/>
        </w:rPr>
        <w:br w:type="textWrapping"/>
      </w:r>
      <w:r>
        <w:rPr>
          <w:rFonts w:eastAsiaTheme="minorEastAsia"/>
          <w:lang w:val="en-US" w:eastAsia="zh-CN"/>
        </w:rPr>
        <w:t>1.</w:t>
      </w:r>
      <w:r>
        <w:rPr>
          <w:rFonts w:eastAsiaTheme="minorEastAsia"/>
          <w:i/>
          <w:lang w:val="en-US" w:eastAsia="zh-CN"/>
        </w:rPr>
        <w:t>Whether to define soft satellite switching delay requirements.</w:t>
      </w:r>
    </w:p>
    <w:p>
      <w:pPr>
        <w:spacing w:before="120" w:beforeLines="50" w:after="120" w:afterLines="50"/>
        <w:rPr>
          <w:rFonts w:eastAsiaTheme="minorEastAsia"/>
          <w:lang w:val="en-US" w:eastAsia="zh-CN"/>
        </w:rPr>
      </w:pPr>
      <w:r>
        <w:rPr>
          <w:rFonts w:eastAsiaTheme="minorEastAsia"/>
          <w:lang w:val="en-US" w:eastAsia="zh-CN"/>
        </w:rPr>
        <w:t xml:space="preserve">2. </w:t>
      </w:r>
      <w:r>
        <w:rPr>
          <w:rFonts w:eastAsiaTheme="minorEastAsia"/>
          <w:i/>
          <w:lang w:val="en-US" w:eastAsia="zh-CN"/>
        </w:rPr>
        <w:t>If defining soft satellite switching delay requirements,</w:t>
      </w:r>
      <w:r>
        <w:rPr>
          <w:rFonts w:eastAsiaTheme="minorEastAsia"/>
          <w:lang w:val="en-US" w:eastAsia="zh-CN"/>
        </w:rPr>
        <w:t xml:space="preserve"> </w:t>
      </w:r>
      <w:r>
        <w:rPr>
          <w:rFonts w:eastAsiaTheme="minorEastAsia"/>
          <w:i/>
          <w:lang w:val="en-US" w:eastAsia="zh-CN"/>
        </w:rPr>
        <w:t>how to define scheduling restriction requirements.</w:t>
      </w:r>
      <w:r>
        <w:rPr>
          <w:rFonts w:hint="eastAsia" w:eastAsiaTheme="minorEastAsia"/>
          <w:i/>
          <w:lang w:val="en-US" w:eastAsia="zh-CN"/>
        </w:rPr>
        <w:t xml:space="preserve"> </w:t>
      </w:r>
    </w:p>
    <w:p>
      <w:pPr>
        <w:spacing w:before="120" w:beforeLines="50" w:after="120" w:afterLines="50"/>
        <w:rPr>
          <w:rFonts w:eastAsiaTheme="minorEastAsia"/>
          <w:lang w:val="en-US" w:eastAsia="zh-CN"/>
        </w:rPr>
      </w:pPr>
      <w:r>
        <w:rPr>
          <w:rFonts w:eastAsiaTheme="minorEastAsia"/>
          <w:lang w:val="en-US" w:eastAsia="zh-CN"/>
        </w:rPr>
        <w:t>When UE performs soft satellite switch, note that during the switching procedure, the VSAT UE must:</w:t>
      </w:r>
    </w:p>
    <w:p>
      <w:pPr>
        <w:pStyle w:val="73"/>
        <w:numPr>
          <w:ilvl w:val="0"/>
          <w:numId w:val="8"/>
        </w:numPr>
        <w:spacing w:before="120" w:beforeLines="50" w:after="120" w:afterLines="50"/>
        <w:rPr>
          <w:rFonts w:ascii="Times New Roman" w:hAnsi="Times New Roman" w:cs="Times New Roman" w:eastAsiaTheme="minorEastAsia"/>
          <w:sz w:val="20"/>
          <w:szCs w:val="20"/>
          <w:lang w:val="en-US" w:eastAsia="zh-CN"/>
        </w:rPr>
      </w:pPr>
      <w:r>
        <w:rPr>
          <w:rFonts w:ascii="Times New Roman" w:hAnsi="Times New Roman" w:cs="Times New Roman" w:eastAsiaTheme="minorEastAsia"/>
          <w:sz w:val="20"/>
          <w:szCs w:val="20"/>
          <w:lang w:val="en-US" w:eastAsia="zh-CN"/>
        </w:rPr>
        <w:t xml:space="preserve">Maintain the connection with serving satellite </w:t>
      </w:r>
    </w:p>
    <w:p>
      <w:pPr>
        <w:pStyle w:val="73"/>
        <w:numPr>
          <w:ilvl w:val="0"/>
          <w:numId w:val="8"/>
        </w:numPr>
        <w:spacing w:before="120" w:beforeLines="50" w:after="120" w:afterLines="50"/>
        <w:rPr>
          <w:rFonts w:ascii="Times New Roman" w:hAnsi="Times New Roman" w:cs="Times New Roman" w:eastAsiaTheme="minorEastAsia"/>
          <w:sz w:val="20"/>
          <w:szCs w:val="20"/>
          <w:lang w:val="en-US" w:eastAsia="zh-CN"/>
        </w:rPr>
      </w:pPr>
      <w:r>
        <w:rPr>
          <w:rFonts w:ascii="Times New Roman" w:hAnsi="Times New Roman" w:cs="Times New Roman" w:eastAsiaTheme="minorEastAsia"/>
          <w:sz w:val="20"/>
          <w:szCs w:val="20"/>
          <w:lang w:val="en-US" w:eastAsia="zh-CN"/>
        </w:rPr>
        <w:t xml:space="preserve">Synchronize with the target satellite. </w:t>
      </w:r>
    </w:p>
    <w:p>
      <w:pPr>
        <w:spacing w:before="120" w:beforeLines="50" w:after="120" w:afterLines="50"/>
        <w:rPr>
          <w:rFonts w:eastAsiaTheme="minorEastAsia"/>
          <w:lang w:val="en-US" w:eastAsia="zh-CN"/>
        </w:rPr>
      </w:pPr>
      <w:r>
        <w:rPr>
          <w:rFonts w:eastAsiaTheme="minorEastAsia"/>
          <w:lang w:val="en-US" w:eastAsia="zh-CN"/>
        </w:rPr>
        <w:t>Until switching to the target satellite, UE shall release connection with serving satellite. Due to the physical limitation, VSAT UE will only generate one high-gain narrow beam to receive like PDCCH/PDSCH from serving satellite or measure SSB based on SSB time offset from target satellite to do time and frequency synchronization.</w:t>
      </w:r>
      <w:r>
        <w:rPr>
          <w:rFonts w:hint="eastAsia" w:eastAsiaTheme="minorEastAsia"/>
          <w:lang w:val="en-US" w:eastAsia="zh-CN"/>
        </w:rPr>
        <w:t xml:space="preserve"> </w:t>
      </w:r>
      <w:r>
        <w:rPr>
          <w:rFonts w:eastAsiaTheme="minorEastAsia"/>
          <w:lang w:val="en-US" w:eastAsia="zh-CN"/>
        </w:rPr>
        <w:t>Consequently, the scheduling restriction mechanisms become essential to resolve this conflict.</w:t>
      </w:r>
    </w:p>
    <w:p>
      <w:pPr>
        <w:spacing w:before="120" w:beforeLines="50" w:after="120" w:afterLines="50"/>
        <w:rPr>
          <w:rFonts w:eastAsiaTheme="minorEastAsia"/>
          <w:lang w:val="en-US" w:eastAsia="zh-CN"/>
        </w:rPr>
      </w:pPr>
      <w:r>
        <w:rPr>
          <w:rFonts w:eastAsiaTheme="minorEastAsia"/>
          <w:lang w:val="en-US" w:eastAsia="zh-CN"/>
        </w:rPr>
        <w:t>However, the motivation of soft satellite switching is to guarantee uninterrupted service for the UE and the source satellite. As we just mentioned before, VSAT UE will only generate one high-gain narrow beam, even if a scheduling restriction is ensured, the interruption for the mechanical UE would still be significant, especially during the rotation of the antenna. Consequently, for VSAT UE, we could compromise to define the soft satellite switching delay requirements or not consider soft satellite for VSAT UE at all. If companies stick to defining soft satellite switching for VSAT UE, only electronic VSAT UE shall be considered. The detailed formulation refers to the above agreement as below:</w:t>
      </w:r>
    </w:p>
    <w:p>
      <w:pPr>
        <w:spacing w:before="120" w:beforeLines="50" w:after="120" w:afterLines="50"/>
        <w:jc w:val="center"/>
        <w:rPr>
          <w:rFonts w:hint="default" w:eastAsia="宋体"/>
          <w:sz w:val="21"/>
          <w:szCs w:val="21"/>
          <w:lang w:val="en-US" w:eastAsia="zh-CN"/>
        </w:rPr>
      </w:pPr>
      <w:r>
        <w:rPr>
          <w:sz w:val="21"/>
          <w:szCs w:val="21"/>
          <w:highlight w:val="none"/>
        </w:rPr>
        <w:t>T</w:t>
      </w:r>
      <w:r>
        <w:rPr>
          <w:sz w:val="21"/>
          <w:szCs w:val="21"/>
          <w:highlight w:val="none"/>
          <w:vertAlign w:val="subscript"/>
        </w:rPr>
        <w:t>soft_switch</w:t>
      </w:r>
      <w:r>
        <w:rPr>
          <w:sz w:val="21"/>
          <w:szCs w:val="21"/>
          <w:highlight w:val="none"/>
        </w:rPr>
        <w:t xml:space="preserve"> = max(</w:t>
      </w:r>
      <w:r>
        <w:rPr>
          <w:i/>
          <w:sz w:val="21"/>
          <w:szCs w:val="21"/>
          <w:highlight w:val="none"/>
        </w:rPr>
        <w:t>t-service</w:t>
      </w:r>
      <w:r>
        <w:rPr>
          <w:rFonts w:eastAsia="PMingLiU"/>
          <w:i/>
          <w:sz w:val="21"/>
          <w:szCs w:val="21"/>
          <w:highlight w:val="none"/>
        </w:rPr>
        <w:t xml:space="preserve"> </w:t>
      </w:r>
      <w:r>
        <w:rPr>
          <w:sz w:val="21"/>
          <w:szCs w:val="21"/>
          <w:highlight w:val="none"/>
        </w:rPr>
        <w:t>-</w:t>
      </w:r>
      <w:r>
        <w:rPr>
          <w:rFonts w:eastAsia="PMingLiU"/>
          <w:sz w:val="21"/>
          <w:szCs w:val="21"/>
          <w:highlight w:val="none"/>
        </w:rPr>
        <w:t xml:space="preserve"> </w:t>
      </w:r>
      <w:r>
        <w:rPr>
          <w:i/>
          <w:sz w:val="21"/>
          <w:szCs w:val="21"/>
          <w:highlight w:val="none"/>
        </w:rPr>
        <w:t>t-serviceStart</w:t>
      </w:r>
      <w:r>
        <w:rPr>
          <w:sz w:val="21"/>
          <w:szCs w:val="21"/>
          <w:highlight w:val="none"/>
        </w:rPr>
        <w:t>, T</w:t>
      </w:r>
      <w:r>
        <w:rPr>
          <w:sz w:val="21"/>
          <w:szCs w:val="21"/>
          <w:highlight w:val="none"/>
          <w:vertAlign w:val="subscript"/>
        </w:rPr>
        <w:t>sat_beam</w:t>
      </w:r>
      <w:r>
        <w:rPr>
          <w:sz w:val="21"/>
          <w:szCs w:val="21"/>
          <w:highlight w:val="none"/>
        </w:rPr>
        <w:t xml:space="preserve"> + T</w:t>
      </w:r>
      <w:r>
        <w:rPr>
          <w:sz w:val="21"/>
          <w:szCs w:val="21"/>
          <w:highlight w:val="none"/>
          <w:vertAlign w:val="subscript"/>
        </w:rPr>
        <w:t>search</w:t>
      </w:r>
      <w:r>
        <w:rPr>
          <w:sz w:val="21"/>
          <w:szCs w:val="21"/>
          <w:highlight w:val="none"/>
        </w:rPr>
        <w:t xml:space="preserve"> + T</w:t>
      </w:r>
      <w:r>
        <w:rPr>
          <w:sz w:val="21"/>
          <w:szCs w:val="21"/>
          <w:highlight w:val="none"/>
          <w:vertAlign w:val="subscript"/>
        </w:rPr>
        <w:t>∆</w:t>
      </w:r>
      <w:r>
        <w:rPr>
          <w:sz w:val="21"/>
          <w:szCs w:val="21"/>
          <w:highlight w:val="none"/>
        </w:rPr>
        <w:t xml:space="preserve"> + T</w:t>
      </w:r>
      <w:r>
        <w:rPr>
          <w:sz w:val="21"/>
          <w:szCs w:val="21"/>
          <w:highlight w:val="none"/>
          <w:vertAlign w:val="subscript"/>
        </w:rPr>
        <w:t>margin</w:t>
      </w:r>
      <w:r>
        <w:rPr>
          <w:sz w:val="21"/>
          <w:szCs w:val="21"/>
          <w:highlight w:val="none"/>
        </w:rPr>
        <w:t>) + T</w:t>
      </w:r>
      <w:r>
        <w:rPr>
          <w:sz w:val="21"/>
          <w:szCs w:val="21"/>
          <w:highlight w:val="none"/>
          <w:vertAlign w:val="subscript"/>
        </w:rPr>
        <w:t>processing</w:t>
      </w:r>
      <w:r>
        <w:rPr>
          <w:sz w:val="21"/>
          <w:szCs w:val="21"/>
          <w:highlight w:val="none"/>
        </w:rPr>
        <w:t xml:space="preserve"> ms</w:t>
      </w:r>
      <w:r>
        <w:rPr>
          <w:rFonts w:hint="eastAsia" w:eastAsia="宋体"/>
          <w:sz w:val="21"/>
          <w:szCs w:val="21"/>
          <w:lang w:val="en-US" w:eastAsia="zh-CN"/>
        </w:rPr>
        <w:t xml:space="preserve">  </w:t>
      </w:r>
    </w:p>
    <w:p>
      <w:pPr>
        <w:spacing w:before="120" w:beforeLines="50" w:after="120" w:afterLines="50"/>
        <w:rPr>
          <w:rFonts w:eastAsiaTheme="minorEastAsia"/>
          <w:b/>
          <w:lang w:val="en-US" w:eastAsia="zh-CN"/>
        </w:rPr>
      </w:pPr>
      <w:r>
        <w:rPr>
          <w:rFonts w:hint="eastAsia" w:eastAsiaTheme="minorEastAsia"/>
          <w:b/>
          <w:lang w:val="en-US" w:eastAsia="zh-CN"/>
        </w:rPr>
        <w:t>O</w:t>
      </w:r>
      <w:r>
        <w:rPr>
          <w:rFonts w:eastAsiaTheme="minorEastAsia"/>
          <w:b/>
          <w:lang w:val="en-US" w:eastAsia="zh-CN"/>
        </w:rPr>
        <w:t>bservation 2: When UE performs soft satellite switch, note that during the switching procedure, the VSAT UE must:</w:t>
      </w:r>
    </w:p>
    <w:p>
      <w:pPr>
        <w:pStyle w:val="73"/>
        <w:numPr>
          <w:ilvl w:val="0"/>
          <w:numId w:val="8"/>
        </w:numPr>
        <w:spacing w:before="120" w:beforeLines="50" w:after="120" w:afterLines="50"/>
        <w:rPr>
          <w:rFonts w:ascii="Times New Roman" w:hAnsi="Times New Roman" w:cs="Times New Roman" w:eastAsiaTheme="minorEastAsia"/>
          <w:b/>
          <w:sz w:val="20"/>
          <w:szCs w:val="20"/>
          <w:lang w:val="en-US" w:eastAsia="zh-CN"/>
        </w:rPr>
      </w:pPr>
      <w:r>
        <w:rPr>
          <w:rFonts w:ascii="Times New Roman" w:hAnsi="Times New Roman" w:cs="Times New Roman" w:eastAsiaTheme="minorEastAsia"/>
          <w:b/>
          <w:sz w:val="20"/>
          <w:szCs w:val="20"/>
          <w:lang w:val="en-US" w:eastAsia="zh-CN"/>
        </w:rPr>
        <w:t>Maintain the connection with serving satellite</w:t>
      </w:r>
      <w:r>
        <w:rPr>
          <w:rFonts w:hint="eastAsia" w:ascii="Times New Roman" w:hAnsi="Times New Roman" w:cs="Times New Roman" w:eastAsiaTheme="minorEastAsia"/>
          <w:b/>
          <w:sz w:val="20"/>
          <w:szCs w:val="20"/>
          <w:lang w:val="en-US" w:eastAsia="zh-CN"/>
        </w:rPr>
        <w:t>.</w:t>
      </w:r>
    </w:p>
    <w:p>
      <w:pPr>
        <w:pStyle w:val="73"/>
        <w:numPr>
          <w:ilvl w:val="0"/>
          <w:numId w:val="8"/>
        </w:numPr>
        <w:spacing w:before="120" w:beforeLines="50" w:after="120" w:afterLines="50"/>
        <w:rPr>
          <w:rFonts w:ascii="Times New Roman" w:hAnsi="Times New Roman" w:cs="Times New Roman" w:eastAsiaTheme="minorEastAsia"/>
          <w:b/>
          <w:sz w:val="20"/>
          <w:szCs w:val="20"/>
          <w:lang w:val="en-US" w:eastAsia="zh-CN"/>
        </w:rPr>
      </w:pPr>
      <w:r>
        <w:rPr>
          <w:rFonts w:ascii="Times New Roman" w:hAnsi="Times New Roman" w:cs="Times New Roman" w:eastAsiaTheme="minorEastAsia"/>
          <w:b/>
          <w:sz w:val="20"/>
          <w:szCs w:val="20"/>
          <w:lang w:val="en-US" w:eastAsia="zh-CN"/>
        </w:rPr>
        <w:t xml:space="preserve">Synchronize with the target satellite. </w:t>
      </w:r>
    </w:p>
    <w:p>
      <w:pPr>
        <w:spacing w:before="120" w:beforeLines="50" w:after="120" w:afterLines="50"/>
        <w:rPr>
          <w:rFonts w:eastAsiaTheme="minorEastAsia"/>
          <w:b/>
          <w:lang w:val="en-US" w:eastAsia="zh-CN"/>
        </w:rPr>
      </w:pPr>
      <w:r>
        <w:rPr>
          <w:rFonts w:eastAsiaTheme="minorEastAsia"/>
          <w:b/>
          <w:lang w:val="en-US" w:eastAsia="zh-CN"/>
        </w:rPr>
        <w:t>Observation 3: VSAT UE will only generate one high-gain narrow beam, even if a scheduling restriction is ensured, the interruption for the mechanical UE would still be significant, especially during the rotation of the antenna.</w:t>
      </w:r>
    </w:p>
    <w:p>
      <w:pPr>
        <w:spacing w:before="120" w:beforeLines="50" w:after="120" w:afterLines="50"/>
        <w:rPr>
          <w:rFonts w:eastAsiaTheme="minorEastAsia"/>
          <w:b/>
          <w:lang w:val="en-US" w:eastAsia="zh-CN"/>
        </w:rPr>
      </w:pPr>
      <w:r>
        <w:rPr>
          <w:rFonts w:eastAsiaTheme="minorEastAsia"/>
          <w:b/>
          <w:lang w:val="en-US" w:eastAsia="zh-CN"/>
        </w:rPr>
        <w:t>Proposal 3: For soft satellite switching, we have two options below:</w:t>
      </w:r>
    </w:p>
    <w:p>
      <w:pPr>
        <w:pStyle w:val="73"/>
        <w:numPr>
          <w:ilvl w:val="0"/>
          <w:numId w:val="9"/>
        </w:numPr>
        <w:spacing w:before="120" w:beforeLines="50" w:after="120" w:afterLines="50"/>
        <w:rPr>
          <w:rFonts w:ascii="Times New Roman" w:hAnsi="Times New Roman" w:cs="Times New Roman" w:eastAsiaTheme="minorEastAsia"/>
          <w:b/>
          <w:sz w:val="20"/>
          <w:szCs w:val="20"/>
          <w:lang w:val="en-US" w:eastAsia="zh-CN"/>
        </w:rPr>
      </w:pPr>
      <w:r>
        <w:rPr>
          <w:rFonts w:ascii="Times New Roman" w:hAnsi="Times New Roman" w:cs="Times New Roman" w:eastAsiaTheme="minorEastAsia"/>
          <w:b/>
          <w:sz w:val="20"/>
          <w:szCs w:val="20"/>
          <w:lang w:val="en-US" w:eastAsia="zh-CN"/>
        </w:rPr>
        <w:t>Option 1: Do not consider soft satellite switch for VSAT UE.</w:t>
      </w:r>
    </w:p>
    <w:p>
      <w:pPr>
        <w:pStyle w:val="73"/>
        <w:numPr>
          <w:ilvl w:val="0"/>
          <w:numId w:val="9"/>
        </w:numPr>
        <w:spacing w:before="120" w:beforeLines="50" w:after="120" w:afterLines="50"/>
        <w:rPr>
          <w:rFonts w:ascii="Times New Roman" w:hAnsi="Times New Roman" w:cs="Times New Roman" w:eastAsiaTheme="minorEastAsia"/>
          <w:b/>
          <w:sz w:val="20"/>
          <w:szCs w:val="20"/>
          <w:lang w:val="en-US" w:eastAsia="zh-CN"/>
        </w:rPr>
      </w:pPr>
      <w:r>
        <w:rPr>
          <w:rFonts w:ascii="Times New Roman" w:hAnsi="Times New Roman" w:cs="Times New Roman" w:eastAsiaTheme="minorEastAsia"/>
          <w:b/>
          <w:sz w:val="20"/>
          <w:szCs w:val="20"/>
          <w:lang w:val="en-US" w:eastAsia="zh-CN"/>
        </w:rPr>
        <w:t>Option 2: If defined, only consider electronic VSAT UE. The detailed delay requirements could be as:</w:t>
      </w:r>
    </w:p>
    <w:p>
      <w:pPr>
        <w:spacing w:before="120" w:beforeLines="50" w:after="120" w:afterLines="50"/>
        <w:jc w:val="center"/>
        <w:rPr>
          <w:b/>
          <w:sz w:val="21"/>
          <w:szCs w:val="21"/>
        </w:rPr>
      </w:pPr>
      <w:r>
        <w:rPr>
          <w:b/>
          <w:sz w:val="21"/>
          <w:szCs w:val="21"/>
        </w:rPr>
        <w:t>T</w:t>
      </w:r>
      <w:r>
        <w:rPr>
          <w:b/>
          <w:sz w:val="21"/>
          <w:szCs w:val="21"/>
          <w:vertAlign w:val="subscript"/>
        </w:rPr>
        <w:t>soft_switch</w:t>
      </w:r>
      <w:r>
        <w:rPr>
          <w:b/>
          <w:sz w:val="21"/>
          <w:szCs w:val="21"/>
        </w:rPr>
        <w:t xml:space="preserve"> = max(</w:t>
      </w:r>
      <w:r>
        <w:rPr>
          <w:b/>
          <w:i/>
          <w:sz w:val="21"/>
          <w:szCs w:val="21"/>
        </w:rPr>
        <w:t>t-service</w:t>
      </w:r>
      <w:r>
        <w:rPr>
          <w:rFonts w:eastAsia="PMingLiU"/>
          <w:b/>
          <w:i/>
          <w:sz w:val="21"/>
          <w:szCs w:val="21"/>
        </w:rPr>
        <w:t xml:space="preserve"> </w:t>
      </w:r>
      <w:r>
        <w:rPr>
          <w:b/>
          <w:sz w:val="21"/>
          <w:szCs w:val="21"/>
        </w:rPr>
        <w:t>-</w:t>
      </w:r>
      <w:r>
        <w:rPr>
          <w:rFonts w:eastAsia="PMingLiU"/>
          <w:b/>
          <w:sz w:val="21"/>
          <w:szCs w:val="21"/>
        </w:rPr>
        <w:t xml:space="preserve"> </w:t>
      </w:r>
      <w:r>
        <w:rPr>
          <w:b/>
          <w:i/>
          <w:sz w:val="21"/>
          <w:szCs w:val="21"/>
        </w:rPr>
        <w:t>t-serviceStart</w:t>
      </w:r>
      <w:r>
        <w:rPr>
          <w:b/>
          <w:sz w:val="21"/>
          <w:szCs w:val="21"/>
        </w:rPr>
        <w:t>, T</w:t>
      </w:r>
      <w:r>
        <w:rPr>
          <w:b/>
          <w:sz w:val="21"/>
          <w:szCs w:val="21"/>
          <w:vertAlign w:val="subscript"/>
        </w:rPr>
        <w:t>sat_beam</w:t>
      </w:r>
      <w:r>
        <w:rPr>
          <w:b/>
          <w:sz w:val="21"/>
          <w:szCs w:val="21"/>
        </w:rPr>
        <w:t xml:space="preserve"> + T</w:t>
      </w:r>
      <w:r>
        <w:rPr>
          <w:b/>
          <w:sz w:val="21"/>
          <w:szCs w:val="21"/>
          <w:vertAlign w:val="subscript"/>
        </w:rPr>
        <w:t>search</w:t>
      </w:r>
      <w:r>
        <w:rPr>
          <w:b/>
          <w:sz w:val="21"/>
          <w:szCs w:val="21"/>
        </w:rPr>
        <w:t xml:space="preserve"> + T</w:t>
      </w:r>
      <w:r>
        <w:rPr>
          <w:b/>
          <w:sz w:val="21"/>
          <w:szCs w:val="21"/>
          <w:vertAlign w:val="subscript"/>
        </w:rPr>
        <w:t>∆</w:t>
      </w:r>
      <w:r>
        <w:rPr>
          <w:b/>
          <w:sz w:val="21"/>
          <w:szCs w:val="21"/>
        </w:rPr>
        <w:t xml:space="preserve"> + T</w:t>
      </w:r>
      <w:r>
        <w:rPr>
          <w:b/>
          <w:sz w:val="21"/>
          <w:szCs w:val="21"/>
          <w:vertAlign w:val="subscript"/>
        </w:rPr>
        <w:t>margin</w:t>
      </w:r>
      <w:r>
        <w:rPr>
          <w:b/>
          <w:sz w:val="21"/>
          <w:szCs w:val="21"/>
        </w:rPr>
        <w:t>) + T</w:t>
      </w:r>
      <w:r>
        <w:rPr>
          <w:b/>
          <w:sz w:val="21"/>
          <w:szCs w:val="21"/>
          <w:vertAlign w:val="subscript"/>
        </w:rPr>
        <w:t>processing</w:t>
      </w:r>
      <w:r>
        <w:rPr>
          <w:b/>
          <w:sz w:val="21"/>
          <w:szCs w:val="21"/>
        </w:rPr>
        <w:t xml:space="preserve"> </w:t>
      </w:r>
      <w:r>
        <w:rPr>
          <w:b/>
          <w:sz w:val="21"/>
          <w:szCs w:val="21"/>
          <w:vertAlign w:val="subscript"/>
        </w:rPr>
        <w:t xml:space="preserve"> </w:t>
      </w:r>
      <w:r>
        <w:rPr>
          <w:b/>
          <w:sz w:val="21"/>
          <w:szCs w:val="21"/>
        </w:rPr>
        <w:t>ms</w:t>
      </w:r>
    </w:p>
    <w:p>
      <w:pPr>
        <w:spacing w:before="120" w:beforeLines="50" w:after="120" w:afterLines="50"/>
        <w:rPr>
          <w:rFonts w:hint="eastAsia" w:eastAsiaTheme="minorEastAsia"/>
          <w:b/>
          <w:sz w:val="21"/>
          <w:szCs w:val="21"/>
          <w:lang w:eastAsia="zh-CN"/>
        </w:rPr>
      </w:pPr>
      <w:r>
        <w:rPr>
          <w:rFonts w:eastAsiaTheme="minorEastAsia"/>
          <w:b/>
          <w:sz w:val="21"/>
          <w:szCs w:val="21"/>
          <w:lang w:eastAsia="zh-CN"/>
        </w:rPr>
        <w:t>Proposal 4: If soft satellite switching delay requirements for electronic VSAT UE is defined, scheduling restriction shall also be considered on Ku band.</w:t>
      </w:r>
    </w:p>
    <w:p>
      <w:pPr>
        <w:pStyle w:val="79"/>
        <w:numPr>
          <w:ilvl w:val="1"/>
          <w:numId w:val="0"/>
        </w:numPr>
        <w:rPr>
          <w:lang w:eastAsia="zh-CN"/>
        </w:rPr>
      </w:pPr>
      <w:r>
        <w:rPr>
          <w:rFonts w:hint="eastAsia"/>
          <w:lang w:eastAsia="zh-CN"/>
        </w:rPr>
        <w:t>2</w:t>
      </w:r>
      <w:r>
        <w:rPr>
          <w:lang w:eastAsia="zh-CN"/>
        </w:rPr>
        <w:t>.3 Inter-satellite cell re-selection requirements</w:t>
      </w:r>
    </w:p>
    <w:p>
      <w:pPr>
        <w:spacing w:before="120" w:beforeLines="50" w:after="120" w:afterLines="50"/>
        <w:rPr>
          <w:rFonts w:eastAsiaTheme="minorEastAsia"/>
          <w:lang w:val="en-US" w:eastAsia="zh-CN"/>
        </w:rPr>
      </w:pPr>
      <w:r>
        <w:rPr>
          <w:rFonts w:eastAsiaTheme="minorEastAsia"/>
          <w:lang w:val="en-US" w:eastAsia="zh-CN"/>
        </w:rPr>
        <w:t>I</w:t>
      </w:r>
      <w:r>
        <w:rPr>
          <w:rFonts w:hint="eastAsia" w:eastAsiaTheme="minorEastAsia"/>
          <w:lang w:val="en-US" w:eastAsia="zh-CN"/>
        </w:rPr>
        <w:t xml:space="preserve">n the </w:t>
      </w:r>
      <w:r>
        <w:rPr>
          <w:rFonts w:eastAsiaTheme="minorEastAsia"/>
          <w:lang w:val="en-US" w:eastAsia="zh-CN"/>
        </w:rPr>
        <w:t>last meeting, we did not spend any time on discussing whether to define inter-satellite cell re-selection requirements. In this meeting, we would like to provide our views on this issue.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spacing w:after="120"/>
              <w:rPr>
                <w:color w:val="000000"/>
                <w:u w:val="single"/>
                <w:lang w:val="en-US" w:eastAsia="zh-CN"/>
              </w:rPr>
            </w:pPr>
            <w:r>
              <w:rPr>
                <w:color w:val="000000"/>
                <w:u w:val="single"/>
              </w:rPr>
              <w:t>Candidate options:</w:t>
            </w:r>
          </w:p>
          <w:p>
            <w:pPr>
              <w:numPr>
                <w:ilvl w:val="0"/>
                <w:numId w:val="10"/>
              </w:numPr>
              <w:overflowPunct w:val="0"/>
              <w:autoSpaceDE w:val="0"/>
              <w:autoSpaceDN w:val="0"/>
              <w:adjustRightInd w:val="0"/>
              <w:snapToGrid w:val="0"/>
              <w:spacing w:after="120"/>
              <w:textAlignment w:val="baseline"/>
              <w:rPr>
                <w:bCs/>
                <w:color w:val="000000"/>
              </w:rPr>
            </w:pPr>
            <w:r>
              <w:rPr>
                <w:color w:val="000000"/>
              </w:rPr>
              <w:t>Option 1:</w:t>
            </w:r>
            <w:r>
              <w:rPr>
                <w:rFonts w:eastAsia="Calibri"/>
              </w:rPr>
              <w:t xml:space="preserve"> </w:t>
            </w:r>
            <w:r>
              <w:rPr>
                <w:color w:val="000000"/>
              </w:rPr>
              <w:t>RAN4 to create inter-satellite cell reselection requirements for VSAT UEs with electronically steered beams in Rel-19 (Nokia)</w:t>
            </w:r>
          </w:p>
          <w:p>
            <w:pPr>
              <w:numPr>
                <w:ilvl w:val="0"/>
                <w:numId w:val="10"/>
              </w:numPr>
              <w:overflowPunct w:val="0"/>
              <w:autoSpaceDE w:val="0"/>
              <w:autoSpaceDN w:val="0"/>
              <w:adjustRightInd w:val="0"/>
              <w:snapToGrid w:val="0"/>
              <w:spacing w:after="120"/>
              <w:textAlignment w:val="baseline"/>
              <w:rPr>
                <w:bCs/>
                <w:color w:val="000000"/>
              </w:rPr>
            </w:pPr>
            <w:r>
              <w:rPr>
                <w:color w:val="000000"/>
              </w:rPr>
              <w:t xml:space="preserve">Option 2: </w:t>
            </w:r>
            <w:r>
              <w:rPr>
                <w:bCs/>
                <w:color w:val="000000"/>
              </w:rPr>
              <w:t xml:space="preserve">Do not define inter-satellite cell reselection requirements in this WI. (HW, ZTE, </w:t>
            </w:r>
            <w:r>
              <w:rPr>
                <w:color w:val="000000"/>
              </w:rPr>
              <w:t>E///</w:t>
            </w:r>
            <w:r>
              <w:rPr>
                <w:bCs/>
                <w:color w:val="000000"/>
              </w:rPr>
              <w:t>)</w:t>
            </w:r>
          </w:p>
          <w:p>
            <w:pPr>
              <w:numPr>
                <w:ilvl w:val="0"/>
                <w:numId w:val="10"/>
              </w:numPr>
              <w:overflowPunct w:val="0"/>
              <w:autoSpaceDE w:val="0"/>
              <w:autoSpaceDN w:val="0"/>
              <w:adjustRightInd w:val="0"/>
              <w:snapToGrid w:val="0"/>
              <w:spacing w:after="120"/>
              <w:textAlignment w:val="baseline"/>
              <w:rPr>
                <w:rFonts w:hint="eastAsia"/>
                <w:bCs/>
                <w:color w:val="000000"/>
              </w:rPr>
            </w:pPr>
            <w:r>
              <w:rPr>
                <w:color w:val="000000"/>
              </w:rPr>
              <w:t>Option 2a:</w:t>
            </w:r>
            <w:r>
              <w:rPr>
                <w:bCs/>
                <w:color w:val="000000"/>
              </w:rPr>
              <w:t xml:space="preserve"> RAN4 to consider inter-satellite measurement related discussion for Ku-band NTN in a future release (e.g., Rel-20). (LGE)</w:t>
            </w:r>
          </w:p>
        </w:tc>
      </w:tr>
    </w:tbl>
    <w:p>
      <w:pPr>
        <w:spacing w:before="120" w:beforeLines="50" w:after="120" w:afterLines="50"/>
        <w:rPr>
          <w:lang w:val="en-US" w:eastAsia="zh-CN"/>
        </w:rPr>
      </w:pPr>
      <w:r>
        <w:rPr>
          <w:rFonts w:hint="eastAsia" w:eastAsiaTheme="minorEastAsia"/>
          <w:lang w:val="en-US" w:eastAsia="zh-CN"/>
        </w:rPr>
        <w:t>I</w:t>
      </w:r>
      <w:r>
        <w:rPr>
          <w:rFonts w:eastAsiaTheme="minorEastAsia"/>
          <w:lang w:val="en-US" w:eastAsia="zh-CN"/>
        </w:rPr>
        <w:t xml:space="preserve">t cannot be denied that inter-satellite cell reselection is not a corner case, which is benefit to the VSAT UE located at the cell edge in a different satellite. Nevertheless, </w:t>
      </w:r>
      <w:r>
        <w:rPr>
          <w:rFonts w:hint="eastAsia"/>
          <w:lang w:val="en-US" w:eastAsia="zh-CN"/>
        </w:rPr>
        <w:t>we prefer to not define inter-satellite cell reselection for VSAT UEs in R19 since RAN4 does not define this requirement in Ka band</w:t>
      </w:r>
      <w:r>
        <w:rPr>
          <w:lang w:val="en-US" w:eastAsia="zh-CN"/>
        </w:rPr>
        <w:t xml:space="preserve"> in R18</w:t>
      </w:r>
      <w:r>
        <w:rPr>
          <w:rFonts w:hint="eastAsia"/>
          <w:lang w:val="en-US" w:eastAsia="zh-CN"/>
        </w:rPr>
        <w:t>. The company also said that during R18 WI, when the VSAT requirements were first created for spec, there was limited time for discussing this potential scenario, and RAN plenary took the decision to limit the scope of NTN applicability. Thus, we would not like to define such complex scenario unless RAN plenary agree to discuss this.</w:t>
      </w:r>
    </w:p>
    <w:p>
      <w:pPr>
        <w:spacing w:before="120" w:beforeLines="50" w:after="120" w:afterLines="50"/>
        <w:rPr>
          <w:b/>
          <w:bCs/>
          <w:color w:val="000000"/>
        </w:rPr>
      </w:pPr>
      <w:r>
        <w:rPr>
          <w:b/>
          <w:lang w:val="en-US" w:eastAsia="zh-CN"/>
        </w:rPr>
        <w:t xml:space="preserve">Proposal 5: </w:t>
      </w:r>
      <w:r>
        <w:rPr>
          <w:b/>
          <w:bCs/>
          <w:color w:val="000000"/>
        </w:rPr>
        <w:t>Do not define inter-satellite cell reselection requirements in this WI.</w:t>
      </w:r>
    </w:p>
    <w:p>
      <w:pPr>
        <w:pStyle w:val="79"/>
        <w:numPr>
          <w:ilvl w:val="1"/>
          <w:numId w:val="0"/>
        </w:numPr>
        <w:rPr>
          <w:lang w:eastAsia="zh-CN"/>
        </w:rPr>
      </w:pPr>
      <w:r>
        <w:rPr>
          <w:rFonts w:hint="eastAsia"/>
          <w:lang w:eastAsia="zh-CN"/>
        </w:rPr>
        <w:t>2</w:t>
      </w:r>
      <w:r>
        <w:rPr>
          <w:lang w:eastAsia="zh-CN"/>
        </w:rPr>
        <w:t>.4 RLM</w:t>
      </w:r>
    </w:p>
    <w:p>
      <w:pPr>
        <w:spacing w:before="120" w:beforeLines="50" w:after="120" w:afterLines="50"/>
        <w:rPr>
          <w:rFonts w:eastAsiaTheme="minorEastAsia"/>
          <w:lang w:val="en-US" w:eastAsia="zh-CN"/>
        </w:rPr>
      </w:pPr>
      <w:r>
        <w:rPr>
          <w:rFonts w:eastAsiaTheme="minorEastAsia"/>
          <w:lang w:val="en-US" w:eastAsia="zh-CN"/>
        </w:rPr>
        <w:t>The following agreements can be seen: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snapToGrid w:val="0"/>
              <w:spacing w:after="120"/>
              <w:rPr>
                <w:color w:val="000000"/>
                <w:u w:val="single"/>
                <w:lang w:val="en-US" w:eastAsia="zh-CN"/>
              </w:rPr>
            </w:pPr>
            <w:r>
              <w:rPr>
                <w:color w:val="000000"/>
                <w:u w:val="single"/>
              </w:rPr>
              <w:t>Candidate options:</w:t>
            </w:r>
          </w:p>
          <w:p>
            <w:pPr>
              <w:numPr>
                <w:ilvl w:val="0"/>
                <w:numId w:val="11"/>
              </w:numPr>
              <w:overflowPunct w:val="0"/>
              <w:autoSpaceDE w:val="0"/>
              <w:autoSpaceDN w:val="0"/>
              <w:adjustRightInd w:val="0"/>
              <w:snapToGrid w:val="0"/>
              <w:spacing w:after="120"/>
              <w:textAlignment w:val="baseline"/>
              <w:rPr>
                <w:color w:val="000000"/>
                <w:sz w:val="21"/>
                <w:szCs w:val="21"/>
              </w:rPr>
            </w:pPr>
            <w:r>
              <w:rPr>
                <w:color w:val="000000"/>
                <w:sz w:val="21"/>
                <w:szCs w:val="21"/>
              </w:rPr>
              <w:t>Option 1: L</w:t>
            </w:r>
            <w:r>
              <w:rPr>
                <w:color w:val="000000"/>
                <w:sz w:val="21"/>
                <w:szCs w:val="21"/>
                <w:vertAlign w:val="subscript"/>
              </w:rPr>
              <w:t>Max</w:t>
            </w:r>
            <w:r>
              <w:rPr>
                <w:color w:val="000000"/>
                <w:sz w:val="21"/>
                <w:szCs w:val="21"/>
              </w:rPr>
              <w:t xml:space="preserve"> is equal to 8 for FR1-</w:t>
            </w:r>
            <w:r>
              <w:rPr>
                <w:rFonts w:hint="eastAsia"/>
                <w:color w:val="000000"/>
                <w:sz w:val="21"/>
                <w:szCs w:val="21"/>
              </w:rPr>
              <w:t>NT</w:t>
            </w:r>
            <w:r>
              <w:rPr>
                <w:color w:val="000000"/>
                <w:sz w:val="21"/>
                <w:szCs w:val="21"/>
              </w:rPr>
              <w:t>N numerolgoy, and 64 for FR2-NTN numerology.</w:t>
            </w:r>
          </w:p>
          <w:p>
            <w:pPr>
              <w:numPr>
                <w:ilvl w:val="0"/>
                <w:numId w:val="11"/>
              </w:numPr>
              <w:overflowPunct w:val="0"/>
              <w:autoSpaceDE w:val="0"/>
              <w:autoSpaceDN w:val="0"/>
              <w:adjustRightInd w:val="0"/>
              <w:snapToGrid w:val="0"/>
              <w:spacing w:after="120"/>
              <w:textAlignment w:val="baseline"/>
              <w:rPr>
                <w:color w:val="000000"/>
                <w:sz w:val="21"/>
                <w:szCs w:val="21"/>
              </w:rPr>
            </w:pPr>
            <w:r>
              <w:rPr>
                <w:color w:val="000000"/>
                <w:sz w:val="21"/>
                <w:szCs w:val="21"/>
              </w:rPr>
              <w:t>Option 2: L</w:t>
            </w:r>
            <w:r>
              <w:rPr>
                <w:color w:val="000000"/>
                <w:sz w:val="21"/>
                <w:szCs w:val="21"/>
                <w:vertAlign w:val="subscript"/>
              </w:rPr>
              <w:t>Max</w:t>
            </w:r>
            <w:r>
              <w:rPr>
                <w:color w:val="000000"/>
                <w:sz w:val="21"/>
                <w:szCs w:val="21"/>
              </w:rPr>
              <w:t xml:space="preserve"> is equal to 8 for both FR1-</w:t>
            </w:r>
            <w:r>
              <w:rPr>
                <w:rFonts w:hint="eastAsia"/>
                <w:color w:val="000000"/>
                <w:sz w:val="21"/>
                <w:szCs w:val="21"/>
              </w:rPr>
              <w:t>NT</w:t>
            </w:r>
            <w:r>
              <w:rPr>
                <w:color w:val="000000"/>
                <w:sz w:val="21"/>
                <w:szCs w:val="21"/>
              </w:rPr>
              <w:t>N numerology and FR2-NTN numerology.</w:t>
            </w:r>
          </w:p>
        </w:tc>
      </w:tr>
    </w:tbl>
    <w:p>
      <w:pPr>
        <w:spacing w:before="120" w:beforeLines="50" w:after="120" w:afterLines="50"/>
        <w:rPr>
          <w:rFonts w:eastAsiaTheme="minorEastAsia"/>
          <w:lang w:val="en-US" w:eastAsia="zh-CN"/>
        </w:rPr>
      </w:pPr>
      <w:r>
        <w:rPr>
          <w:rFonts w:hint="eastAsia" w:eastAsiaTheme="minorEastAsia"/>
          <w:lang w:val="en-US" w:eastAsia="zh-CN"/>
        </w:rPr>
        <w:t>I</w:t>
      </w:r>
      <w:r>
        <w:rPr>
          <w:rFonts w:eastAsiaTheme="minorEastAsia"/>
          <w:lang w:val="en-US" w:eastAsia="zh-CN"/>
        </w:rPr>
        <w:t>n the last meeting, we just clarified that L</w:t>
      </w:r>
      <w:r>
        <w:rPr>
          <w:rFonts w:eastAsiaTheme="minorEastAsia"/>
          <w:vertAlign w:val="subscript"/>
          <w:lang w:val="en-US" w:eastAsia="zh-CN"/>
        </w:rPr>
        <w:t>MAX</w:t>
      </w:r>
      <w:r>
        <w:rPr>
          <w:rFonts w:eastAsiaTheme="minorEastAsia"/>
          <w:lang w:val="en-US" w:eastAsia="zh-CN"/>
        </w:rPr>
        <w:t xml:space="preserve"> is only impacted by different frequency range, the legacy values can be seen as below:</w:t>
      </w:r>
    </w:p>
    <w:p>
      <w:pPr>
        <w:pStyle w:val="29"/>
        <w:keepNext/>
        <w:keepLines/>
        <w:overflowPunct w:val="0"/>
        <w:autoSpaceDE w:val="0"/>
        <w:autoSpaceDN w:val="0"/>
        <w:adjustRightInd w:val="0"/>
        <w:spacing w:before="60"/>
        <w:jc w:val="center"/>
        <w:rPr>
          <w:lang w:val="en-US"/>
        </w:rPr>
      </w:pPr>
      <w:r>
        <w:rPr>
          <w:rFonts w:ascii="Arial" w:hAnsi="Arial"/>
          <w:b/>
          <w:sz w:val="20"/>
          <w:lang w:val="en-US" w:eastAsia="zh-CN" w:bidi="ar"/>
        </w:rPr>
        <w:t>Table 8.1C.1-2: Maximum number of RLM-RS resources N</w:t>
      </w:r>
      <w:r>
        <w:rPr>
          <w:rFonts w:ascii="Arial" w:hAnsi="Arial"/>
          <w:b/>
          <w:sz w:val="20"/>
          <w:vertAlign w:val="subscript"/>
          <w:lang w:val="en-US" w:eastAsia="zh-CN" w:bidi="ar"/>
        </w:rPr>
        <w:t>RLM</w:t>
      </w:r>
    </w:p>
    <w:tbl>
      <w:tblPr>
        <w:tblStyle w:val="30"/>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rPr>
                <w:rFonts w:ascii="Arial" w:hAnsi="Arial"/>
                <w:b/>
                <w:sz w:val="18"/>
                <w:lang w:val="en-US"/>
              </w:rPr>
            </w:pPr>
            <w:r>
              <w:rPr>
                <w:rFonts w:ascii="Arial" w:hAnsi="Arial"/>
                <w:b/>
                <w:sz w:val="18"/>
                <w:lang w:val="en-US" w:eastAsia="zh-CN" w:bidi="ar"/>
              </w:rPr>
              <w:t xml:space="preserve">Carrier frequency range of PCell </w:t>
            </w:r>
          </w:p>
        </w:tc>
        <w:tc>
          <w:tcPr>
            <w:tcW w:w="3264"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rPr>
                <w:rFonts w:ascii="Arial" w:hAnsi="Arial"/>
                <w:b/>
                <w:sz w:val="18"/>
                <w:lang w:val="en-US"/>
              </w:rPr>
            </w:pPr>
            <w:r>
              <w:rPr>
                <w:rFonts w:ascii="Arial" w:hAnsi="Arial" w:cs="Arial"/>
                <w:sz w:val="18"/>
                <w:szCs w:val="18"/>
                <w:lang w:val="en-US" w:bidi="ar"/>
              </w:rPr>
              <w:t>L</w:t>
            </w:r>
            <w:r>
              <w:rPr>
                <w:rFonts w:ascii="Arial" w:hAnsi="Arial" w:cs="Arial"/>
                <w:sz w:val="18"/>
                <w:szCs w:val="18"/>
                <w:vertAlign w:val="subscript"/>
                <w:lang w:val="en-US" w:bidi="ar"/>
              </w:rPr>
              <w:t>max</w:t>
            </w:r>
          </w:p>
        </w:tc>
        <w:tc>
          <w:tcPr>
            <w:tcW w:w="353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rPr>
                <w:rFonts w:ascii="Arial" w:hAnsi="Arial"/>
                <w:b/>
                <w:sz w:val="18"/>
                <w:lang w:val="en-US"/>
              </w:rPr>
            </w:pPr>
            <w:r>
              <w:rPr>
                <w:rFonts w:ascii="Arial" w:hAnsi="Arial"/>
                <w:b/>
                <w:sz w:val="18"/>
                <w:lang w:val="en-US" w:bidi="ar"/>
              </w:rPr>
              <w:t xml:space="preserve">Maximum number of RLM-RS resources, </w:t>
            </w:r>
            <w:r>
              <w:rPr>
                <w:rFonts w:ascii="Arial" w:hAnsi="Arial"/>
                <w:b/>
                <w:sz w:val="18"/>
                <w:lang w:val="en-US" w:eastAsia="zh-CN" w:bidi="ar"/>
              </w:rPr>
              <w:t>N</w:t>
            </w:r>
            <w:r>
              <w:rPr>
                <w:rFonts w:ascii="Arial" w:hAnsi="Arial"/>
                <w:b/>
                <w:sz w:val="18"/>
                <w:vertAlign w:val="subscript"/>
                <w:lang w:val="en-US" w:bidi="ar"/>
              </w:rPr>
              <w:t>RLM</w:t>
            </w:r>
            <w:r>
              <w:rPr>
                <w:rFonts w:ascii="Arial" w:hAnsi="Arial"/>
                <w:b/>
                <w:sz w:val="18"/>
                <w:lang w:val="en-US"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rPr>
                <w:rFonts w:ascii="Arial" w:hAnsi="Arial"/>
                <w:sz w:val="18"/>
                <w:highlight w:val="yellow"/>
                <w:lang w:val="en-US"/>
              </w:rPr>
            </w:pPr>
            <w:r>
              <w:rPr>
                <w:rFonts w:ascii="Arial" w:hAnsi="Arial"/>
                <w:sz w:val="18"/>
                <w:highlight w:val="yellow"/>
                <w:lang w:val="en-US" w:eastAsia="zh-CN" w:bidi="ar"/>
              </w:rPr>
              <w:t>FR1, ≤ 3 GHz</w:t>
            </w:r>
            <w:r>
              <w:rPr>
                <w:rFonts w:ascii="Arial" w:hAnsi="Arial"/>
                <w:sz w:val="18"/>
                <w:highlight w:val="yellow"/>
                <w:vertAlign w:val="superscript"/>
                <w:lang w:val="en-US" w:eastAsia="zh-CN" w:bidi="ar"/>
              </w:rPr>
              <w:t>Note</w:t>
            </w:r>
            <w:r>
              <w:rPr>
                <w:rFonts w:ascii="Arial" w:hAnsi="Arial"/>
                <w:sz w:val="18"/>
                <w:highlight w:val="yellow"/>
                <w:lang w:val="en-US" w:eastAsia="zh-CN" w:bidi="ar"/>
              </w:rPr>
              <w:t xml:space="preserve">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highlight w:val="yellow"/>
                <w:lang w:val="en-US"/>
              </w:rPr>
            </w:pPr>
            <w:r>
              <w:rPr>
                <w:rFonts w:ascii="Arial" w:hAnsi="Arial"/>
                <w:sz w:val="18"/>
                <w:highlight w:val="yellow"/>
                <w:lang w:val="en-US" w:eastAsia="zh-CN" w:bidi="ar"/>
              </w:rPr>
              <w:t>4</w:t>
            </w:r>
          </w:p>
        </w:tc>
        <w:tc>
          <w:tcPr>
            <w:tcW w:w="353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rPr>
                <w:rFonts w:ascii="Arial" w:hAnsi="Arial"/>
                <w:sz w:val="18"/>
                <w:highlight w:val="yellow"/>
                <w:lang w:val="en-US"/>
              </w:rPr>
            </w:pPr>
            <w:r>
              <w:rPr>
                <w:rFonts w:ascii="Arial" w:hAnsi="Arial"/>
                <w:sz w:val="18"/>
                <w:highlight w:val="yellow"/>
                <w:lang w:val="en-US" w:eastAsia="zh-CN" w:bidi="ar"/>
              </w:rPr>
              <w:t>FR1, &gt; 3 GHz</w:t>
            </w:r>
            <w:r>
              <w:rPr>
                <w:rFonts w:ascii="Arial" w:hAnsi="Arial"/>
                <w:sz w:val="18"/>
                <w:highlight w:val="yellow"/>
                <w:vertAlign w:val="superscript"/>
                <w:lang w:val="en-US" w:eastAsia="zh-CN" w:bidi="ar"/>
              </w:rPr>
              <w:t>Note</w:t>
            </w:r>
            <w:r>
              <w:rPr>
                <w:rFonts w:ascii="Arial" w:hAnsi="Arial"/>
                <w:sz w:val="18"/>
                <w:highlight w:val="yellow"/>
                <w:lang w:val="en-US" w:eastAsia="zh-CN" w:bidi="ar"/>
              </w:rPr>
              <w:t xml:space="preserve">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highlight w:val="yellow"/>
                <w:lang w:val="en-US"/>
              </w:rPr>
            </w:pPr>
            <w:r>
              <w:rPr>
                <w:rFonts w:ascii="Arial" w:hAnsi="Arial"/>
                <w:sz w:val="18"/>
                <w:highlight w:val="yellow"/>
                <w:lang w:val="en-US" w:eastAsia="zh-CN" w:bidi="ar"/>
              </w:rPr>
              <w:t>8</w:t>
            </w:r>
          </w:p>
        </w:tc>
        <w:tc>
          <w:tcPr>
            <w:tcW w:w="353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bidi="ar"/>
              </w:rPr>
              <w:t>FR2-NTN</w:t>
            </w:r>
            <w:r>
              <w:rPr>
                <w:rFonts w:ascii="Arial" w:hAnsi="Arial"/>
                <w:sz w:val="18"/>
                <w:vertAlign w:val="superscript"/>
                <w:lang w:val="en-US" w:bidi="ar"/>
              </w:rPr>
              <w:t>Note 2</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bidi="ar"/>
              </w:rPr>
              <w:t>64</w:t>
            </w:r>
          </w:p>
        </w:tc>
        <w:tc>
          <w:tcPr>
            <w:tcW w:w="353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ind w:left="851" w:hanging="851"/>
              <w:rPr>
                <w:rFonts w:ascii="Arial" w:hAnsi="Arial"/>
                <w:sz w:val="18"/>
                <w:lang w:val="en-US" w:eastAsia="zh-CN"/>
              </w:rPr>
            </w:pPr>
            <w:r>
              <w:rPr>
                <w:rFonts w:ascii="Arial" w:hAnsi="Arial"/>
                <w:sz w:val="18"/>
                <w:lang w:val="en-US" w:eastAsia="zh-CN" w:bidi="ar"/>
              </w:rPr>
              <w:t>NOTE:</w:t>
            </w:r>
            <w:r>
              <w:rPr>
                <w:rFonts w:ascii="Arial" w:hAnsi="Arial"/>
                <w:sz w:val="24"/>
                <w:lang w:val="en-US" w:eastAsia="zh-CN" w:bidi="ar"/>
              </w:rPr>
              <w:tab/>
            </w:r>
            <w:r>
              <w:rPr>
                <w:rFonts w:ascii="Arial" w:hAnsi="Arial"/>
                <w:sz w:val="18"/>
                <w:lang w:val="en-US" w:eastAsia="zh-CN" w:bidi="ar"/>
              </w:rPr>
              <w:t>For unpaired spectrum operation with Case C - 30 kHz SCS, 3 GHz is replaced by 1.88 GHz, as specified in clause 4.1 in TS 38.213 [3].</w:t>
            </w:r>
          </w:p>
          <w:p>
            <w:pPr>
              <w:keepNext/>
              <w:keepLines/>
              <w:overflowPunct w:val="0"/>
              <w:autoSpaceDE w:val="0"/>
              <w:autoSpaceDN w:val="0"/>
              <w:adjustRightInd w:val="0"/>
              <w:spacing w:after="0"/>
              <w:ind w:left="851" w:hanging="851"/>
              <w:rPr>
                <w:rFonts w:ascii="Arial" w:hAnsi="Arial"/>
                <w:sz w:val="18"/>
                <w:lang w:val="en-US" w:eastAsia="zh-CN"/>
              </w:rPr>
            </w:pPr>
            <w:r>
              <w:rPr>
                <w:rFonts w:ascii="Arial" w:hAnsi="Arial"/>
                <w:sz w:val="18"/>
                <w:lang w:val="en-US" w:eastAsia="zh-CN" w:bidi="ar"/>
              </w:rPr>
              <w:t>NOTE 2: NTN bands within this frequency range are regarded as a FR2-1 band when references from other specifications unless otherwise stated.</w:t>
            </w:r>
          </w:p>
        </w:tc>
      </w:tr>
    </w:tbl>
    <w:p>
      <w:pPr>
        <w:spacing w:before="120" w:beforeLines="50" w:after="120" w:afterLines="50"/>
        <w:rPr>
          <w:color w:val="000000"/>
          <w:sz w:val="21"/>
          <w:szCs w:val="21"/>
        </w:rPr>
      </w:pPr>
      <w:r>
        <w:rPr>
          <w:rFonts w:eastAsiaTheme="minorEastAsia"/>
          <w:lang w:eastAsia="zh-CN"/>
        </w:rPr>
        <w:t xml:space="preserve">For this reason, we hold the view that </w:t>
      </w:r>
      <w:bookmarkStart w:id="0" w:name="OLE_LINK1"/>
      <w:bookmarkStart w:id="1" w:name="OLE_LINK2"/>
      <w:r>
        <w:rPr>
          <w:rFonts w:eastAsiaTheme="minorEastAsia"/>
          <w:lang w:eastAsia="zh-CN"/>
        </w:rPr>
        <w:t>L</w:t>
      </w:r>
      <w:r>
        <w:rPr>
          <w:rFonts w:eastAsiaTheme="minorEastAsia"/>
          <w:vertAlign w:val="subscript"/>
          <w:lang w:eastAsia="zh-CN"/>
        </w:rPr>
        <w:t>MAX</w:t>
      </w:r>
      <w:r>
        <w:rPr>
          <w:rFonts w:eastAsiaTheme="minorEastAsia"/>
          <w:lang w:eastAsia="zh-CN"/>
        </w:rPr>
        <w:t xml:space="preserve"> defined for FR1-NTN applies for VSAT working in FR1-NTN. Meanwhile, </w:t>
      </w:r>
      <w:r>
        <w:rPr>
          <w:color w:val="000000"/>
          <w:sz w:val="21"/>
          <w:szCs w:val="21"/>
        </w:rPr>
        <w:t>L</w:t>
      </w:r>
      <w:r>
        <w:rPr>
          <w:color w:val="000000"/>
          <w:sz w:val="21"/>
          <w:szCs w:val="21"/>
          <w:vertAlign w:val="subscript"/>
        </w:rPr>
        <w:t>Max</w:t>
      </w:r>
      <w:r>
        <w:rPr>
          <w:color w:val="000000"/>
          <w:sz w:val="21"/>
          <w:szCs w:val="21"/>
        </w:rPr>
        <w:t xml:space="preserve"> is equal to 8 for FR1-</w:t>
      </w:r>
      <w:r>
        <w:rPr>
          <w:rFonts w:hint="eastAsia"/>
          <w:color w:val="000000"/>
          <w:sz w:val="21"/>
          <w:szCs w:val="21"/>
        </w:rPr>
        <w:t>NT</w:t>
      </w:r>
      <w:r>
        <w:rPr>
          <w:color w:val="000000"/>
          <w:sz w:val="21"/>
          <w:szCs w:val="21"/>
        </w:rPr>
        <w:t>N numerolgoy, and 64 for FR2-NTN numerology. RAN4 shall not change this table.</w:t>
      </w:r>
      <w:bookmarkEnd w:id="0"/>
      <w:bookmarkEnd w:id="1"/>
    </w:p>
    <w:p>
      <w:pPr>
        <w:spacing w:before="120" w:beforeLines="50" w:after="120" w:afterLines="50"/>
        <w:rPr>
          <w:b/>
          <w:color w:val="000000"/>
          <w:sz w:val="21"/>
          <w:szCs w:val="21"/>
        </w:rPr>
      </w:pPr>
      <w:r>
        <w:rPr>
          <w:b/>
          <w:color w:val="000000"/>
          <w:sz w:val="21"/>
          <w:szCs w:val="21"/>
        </w:rPr>
        <w:t xml:space="preserve">Proposal 6: </w:t>
      </w:r>
      <w:r>
        <w:rPr>
          <w:rFonts w:eastAsiaTheme="minorEastAsia"/>
          <w:b/>
          <w:lang w:eastAsia="zh-CN"/>
        </w:rPr>
        <w:t>L</w:t>
      </w:r>
      <w:r>
        <w:rPr>
          <w:rFonts w:eastAsiaTheme="minorEastAsia"/>
          <w:b/>
          <w:vertAlign w:val="subscript"/>
          <w:lang w:eastAsia="zh-CN"/>
        </w:rPr>
        <w:t>MAX</w:t>
      </w:r>
      <w:r>
        <w:rPr>
          <w:rFonts w:eastAsiaTheme="minorEastAsia"/>
          <w:b/>
          <w:lang w:eastAsia="zh-CN"/>
        </w:rPr>
        <w:t xml:space="preserve"> defined for FR1-NTN applies for VSAT working in FR1-NTN. Meanwhile, </w:t>
      </w:r>
      <w:r>
        <w:rPr>
          <w:b/>
          <w:color w:val="000000"/>
          <w:sz w:val="21"/>
          <w:szCs w:val="21"/>
        </w:rPr>
        <w:t>L</w:t>
      </w:r>
      <w:r>
        <w:rPr>
          <w:b/>
          <w:color w:val="000000"/>
          <w:sz w:val="21"/>
          <w:szCs w:val="21"/>
          <w:vertAlign w:val="subscript"/>
        </w:rPr>
        <w:t>Max</w:t>
      </w:r>
      <w:r>
        <w:rPr>
          <w:b/>
          <w:color w:val="000000"/>
          <w:sz w:val="21"/>
          <w:szCs w:val="21"/>
        </w:rPr>
        <w:t xml:space="preserve"> is equal to 8 for FR1-</w:t>
      </w:r>
      <w:r>
        <w:rPr>
          <w:rFonts w:hint="eastAsia"/>
          <w:b/>
          <w:color w:val="000000"/>
          <w:sz w:val="21"/>
          <w:szCs w:val="21"/>
        </w:rPr>
        <w:t>NT</w:t>
      </w:r>
      <w:r>
        <w:rPr>
          <w:b/>
          <w:color w:val="000000"/>
          <w:sz w:val="21"/>
          <w:szCs w:val="21"/>
        </w:rPr>
        <w:t>N numerolgoy, and 64 for FR2-NTN numerology. RAN4 shall not change table 8.1C.1-2.</w:t>
      </w:r>
    </w:p>
    <w:p>
      <w:pPr>
        <w:pStyle w:val="79"/>
        <w:numPr>
          <w:ilvl w:val="1"/>
          <w:numId w:val="0"/>
        </w:numPr>
        <w:rPr>
          <w:lang w:eastAsia="zh-CN"/>
        </w:rPr>
      </w:pPr>
      <w:r>
        <w:rPr>
          <w:rFonts w:hint="eastAsia"/>
          <w:lang w:eastAsia="zh-CN"/>
        </w:rPr>
        <w:t>2</w:t>
      </w:r>
      <w:r>
        <w:rPr>
          <w:lang w:eastAsia="zh-CN"/>
        </w:rPr>
        <w:t>.5 Terminology update</w:t>
      </w:r>
    </w:p>
    <w:p>
      <w:pPr>
        <w:spacing w:before="120" w:beforeLines="50" w:after="120" w:afterLines="50"/>
        <w:rPr>
          <w:rFonts w:eastAsiaTheme="minorEastAsia"/>
          <w:lang w:eastAsia="zh-CN"/>
        </w:rPr>
      </w:pPr>
      <w:r>
        <w:rPr>
          <w:rFonts w:hint="eastAsia" w:eastAsiaTheme="minorEastAsia"/>
          <w:lang w:eastAsia="zh-CN"/>
        </w:rPr>
        <w:t>I</w:t>
      </w:r>
      <w:r>
        <w:rPr>
          <w:rFonts w:eastAsiaTheme="minorEastAsia"/>
          <w:lang w:eastAsia="zh-CN"/>
        </w:rPr>
        <w:t xml:space="preserve">n previous meeting, RF session has already defined the new frequency range for Ku band NTN. We confirm the range of FR2 is extended and starting from 10GHz. The range of FR1 is also extended. </w:t>
      </w:r>
    </w:p>
    <w:p>
      <w:pPr>
        <w:spacing w:before="120" w:beforeLines="50" w:after="120" w:afterLines="50"/>
        <w:rPr>
          <w:rFonts w:eastAsiaTheme="minorEastAsia"/>
          <w:b/>
          <w:lang w:eastAsia="zh-CN"/>
        </w:rPr>
      </w:pPr>
      <w:r>
        <w:rPr>
          <w:rFonts w:eastAsiaTheme="minorEastAsia"/>
          <w:b/>
          <w:lang w:eastAsia="zh-CN"/>
        </w:rPr>
        <w:t xml:space="preserve">Proposal 7: </w:t>
      </w:r>
      <w:r>
        <w:rPr>
          <w:b/>
          <w:color w:val="000000"/>
          <w:szCs w:val="21"/>
          <w:lang w:val="en-US"/>
        </w:rPr>
        <w:t>For Ku-band in FR2-NTN numerology, not to change the existing terminologies: ‘VSAT UE in FR2-NTN’ and ‘FR2-NTN’.</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Ku band NTN enhancement</w:t>
      </w:r>
      <w:r>
        <w:rPr>
          <w:rFonts w:eastAsia="宋体"/>
          <w:lang w:eastAsia="zh-CN"/>
        </w:rPr>
        <w:t>.</w:t>
      </w:r>
    </w:p>
    <w:p>
      <w:pPr>
        <w:spacing w:before="120" w:beforeLines="50" w:after="120" w:afterLines="50"/>
        <w:rPr>
          <w:rFonts w:eastAsiaTheme="minorEastAsia"/>
          <w:b/>
          <w:lang w:val="en-US" w:eastAsia="zh-CN"/>
        </w:rPr>
      </w:pPr>
      <w:r>
        <w:rPr>
          <w:rFonts w:eastAsiaTheme="minorEastAsia"/>
          <w:b/>
          <w:lang w:val="en-US" w:eastAsia="zh-CN"/>
        </w:rPr>
        <w:t>Proposal 1: Assumption for defining RRM requirements shall be discussed in other specific issues instead of discussing these dependently.</w:t>
      </w:r>
    </w:p>
    <w:p>
      <w:pPr>
        <w:spacing w:before="120" w:beforeLines="50" w:after="120" w:afterLines="50"/>
        <w:rPr>
          <w:rFonts w:eastAsiaTheme="minorEastAsia"/>
          <w:b/>
          <w:lang w:val="en-US" w:eastAsia="zh-CN"/>
        </w:rPr>
      </w:pPr>
      <w:r>
        <w:rPr>
          <w:rFonts w:eastAsiaTheme="minorEastAsia"/>
          <w:b/>
          <w:lang w:val="en-US" w:eastAsia="zh-CN"/>
        </w:rPr>
        <w:t>Observation 1: The formulation only adds T</w:t>
      </w:r>
      <w:r>
        <w:rPr>
          <w:rFonts w:eastAsiaTheme="minorEastAsia"/>
          <w:b/>
          <w:vertAlign w:val="subscript"/>
          <w:lang w:val="en-US" w:eastAsia="zh-CN"/>
        </w:rPr>
        <w:t>SAT_beam</w:t>
      </w:r>
      <w:r>
        <w:rPr>
          <w:rFonts w:eastAsiaTheme="minorEastAsia"/>
          <w:b/>
          <w:lang w:val="en-US" w:eastAsia="zh-CN"/>
        </w:rPr>
        <w:t>, which reused from inter-satellite handover requirements. The other components refer to legacy hard satellite switching requirements.</w:t>
      </w:r>
    </w:p>
    <w:p>
      <w:pPr>
        <w:spacing w:before="120" w:beforeLines="50" w:after="120" w:afterLines="50"/>
        <w:rPr>
          <w:rFonts w:eastAsiaTheme="minorEastAsia"/>
          <w:b/>
          <w:lang w:val="en-US" w:eastAsia="zh-CN"/>
        </w:rPr>
      </w:pPr>
      <w:r>
        <w:rPr>
          <w:rFonts w:eastAsiaTheme="minorEastAsia"/>
          <w:b/>
          <w:lang w:val="en-US" w:eastAsia="zh-CN"/>
        </w:rPr>
        <w:t>Proposal 2: The components in hard satellite switching delay requirements refer to legacy hard satellite switching delay and inter satellite handover delay.</w:t>
      </w:r>
    </w:p>
    <w:p>
      <w:pPr>
        <w:spacing w:before="120" w:beforeLines="50" w:after="120" w:afterLines="50"/>
        <w:rPr>
          <w:rFonts w:eastAsiaTheme="minorEastAsia"/>
          <w:b/>
          <w:lang w:val="en-US" w:eastAsia="zh-CN"/>
        </w:rPr>
      </w:pPr>
      <w:r>
        <w:rPr>
          <w:rFonts w:hint="eastAsia" w:eastAsiaTheme="minorEastAsia"/>
          <w:b/>
          <w:lang w:val="en-US" w:eastAsia="zh-CN"/>
        </w:rPr>
        <w:t>O</w:t>
      </w:r>
      <w:r>
        <w:rPr>
          <w:rFonts w:eastAsiaTheme="minorEastAsia"/>
          <w:b/>
          <w:lang w:val="en-US" w:eastAsia="zh-CN"/>
        </w:rPr>
        <w:t>bservation 2: When UE performs soft satellite switch, note that during the switching procedure, the VSAT UE must:</w:t>
      </w:r>
    </w:p>
    <w:p>
      <w:pPr>
        <w:pStyle w:val="73"/>
        <w:numPr>
          <w:ilvl w:val="0"/>
          <w:numId w:val="8"/>
        </w:numPr>
        <w:spacing w:before="120" w:beforeLines="50" w:after="120" w:afterLines="50"/>
        <w:rPr>
          <w:rFonts w:ascii="Times New Roman" w:hAnsi="Times New Roman" w:cs="Times New Roman" w:eastAsiaTheme="minorEastAsia"/>
          <w:b/>
          <w:sz w:val="20"/>
          <w:szCs w:val="20"/>
          <w:lang w:val="en-US" w:eastAsia="zh-CN"/>
        </w:rPr>
      </w:pPr>
      <w:r>
        <w:rPr>
          <w:rFonts w:ascii="Times New Roman" w:hAnsi="Times New Roman" w:cs="Times New Roman" w:eastAsiaTheme="minorEastAsia"/>
          <w:b/>
          <w:sz w:val="20"/>
          <w:szCs w:val="20"/>
          <w:lang w:val="en-US" w:eastAsia="zh-CN"/>
        </w:rPr>
        <w:t xml:space="preserve">Maintain the connection with serving satellite </w:t>
      </w:r>
    </w:p>
    <w:p>
      <w:pPr>
        <w:pStyle w:val="73"/>
        <w:numPr>
          <w:ilvl w:val="0"/>
          <w:numId w:val="8"/>
        </w:numPr>
        <w:spacing w:before="120" w:beforeLines="50" w:after="120" w:afterLines="50"/>
        <w:rPr>
          <w:rFonts w:ascii="Times New Roman" w:hAnsi="Times New Roman" w:cs="Times New Roman" w:eastAsiaTheme="minorEastAsia"/>
          <w:b/>
          <w:sz w:val="20"/>
          <w:szCs w:val="20"/>
          <w:lang w:val="en-US" w:eastAsia="zh-CN"/>
        </w:rPr>
      </w:pPr>
      <w:r>
        <w:rPr>
          <w:rFonts w:ascii="Times New Roman" w:hAnsi="Times New Roman" w:cs="Times New Roman" w:eastAsiaTheme="minorEastAsia"/>
          <w:b/>
          <w:sz w:val="20"/>
          <w:szCs w:val="20"/>
          <w:lang w:val="en-US" w:eastAsia="zh-CN"/>
        </w:rPr>
        <w:t xml:space="preserve">Synchronize with the target satellite. </w:t>
      </w:r>
    </w:p>
    <w:p>
      <w:pPr>
        <w:spacing w:before="120" w:beforeLines="50" w:after="120" w:afterLines="50"/>
        <w:rPr>
          <w:rFonts w:eastAsiaTheme="minorEastAsia"/>
          <w:b/>
          <w:lang w:val="en-US" w:eastAsia="zh-CN"/>
        </w:rPr>
      </w:pPr>
      <w:r>
        <w:rPr>
          <w:rFonts w:eastAsiaTheme="minorEastAsia"/>
          <w:b/>
          <w:lang w:val="en-US" w:eastAsia="zh-CN"/>
        </w:rPr>
        <w:t>Observation 3: VSAT UE will only generate one high-gain narrow beam, even if a scheduling restriction is ensured, the interruption for the mechanical UE would still be significant, especially during the rotation of the antenna.</w:t>
      </w:r>
    </w:p>
    <w:p>
      <w:pPr>
        <w:spacing w:before="120" w:beforeLines="50" w:after="120" w:afterLines="50"/>
        <w:rPr>
          <w:rFonts w:eastAsiaTheme="minorEastAsia"/>
          <w:b/>
          <w:lang w:val="en-US" w:eastAsia="zh-CN"/>
        </w:rPr>
      </w:pPr>
      <w:r>
        <w:rPr>
          <w:rFonts w:eastAsiaTheme="minorEastAsia"/>
          <w:b/>
          <w:lang w:val="en-US" w:eastAsia="zh-CN"/>
        </w:rPr>
        <w:t>Proposal 3: For soft satellite switching, we have two options below:</w:t>
      </w:r>
    </w:p>
    <w:p>
      <w:pPr>
        <w:pStyle w:val="73"/>
        <w:numPr>
          <w:ilvl w:val="0"/>
          <w:numId w:val="9"/>
        </w:numPr>
        <w:spacing w:before="120" w:beforeLines="50" w:after="120" w:afterLines="50"/>
        <w:rPr>
          <w:rFonts w:ascii="Times New Roman" w:hAnsi="Times New Roman" w:cs="Times New Roman" w:eastAsiaTheme="minorEastAsia"/>
          <w:b/>
          <w:sz w:val="20"/>
          <w:szCs w:val="20"/>
          <w:lang w:val="en-US" w:eastAsia="zh-CN"/>
        </w:rPr>
      </w:pPr>
      <w:r>
        <w:rPr>
          <w:rFonts w:ascii="Times New Roman" w:hAnsi="Times New Roman" w:cs="Times New Roman" w:eastAsiaTheme="minorEastAsia"/>
          <w:b/>
          <w:sz w:val="20"/>
          <w:szCs w:val="20"/>
          <w:lang w:val="en-US" w:eastAsia="zh-CN"/>
        </w:rPr>
        <w:t>Option 1: Do not consider soft satellite switch for VSAT UE.</w:t>
      </w:r>
    </w:p>
    <w:p>
      <w:pPr>
        <w:pStyle w:val="73"/>
        <w:numPr>
          <w:ilvl w:val="0"/>
          <w:numId w:val="9"/>
        </w:numPr>
        <w:spacing w:before="120" w:beforeLines="50" w:after="120" w:afterLines="50"/>
        <w:rPr>
          <w:rFonts w:ascii="Times New Roman" w:hAnsi="Times New Roman" w:cs="Times New Roman" w:eastAsiaTheme="minorEastAsia"/>
          <w:b/>
          <w:sz w:val="20"/>
          <w:szCs w:val="20"/>
          <w:lang w:val="en-US" w:eastAsia="zh-CN"/>
        </w:rPr>
      </w:pPr>
      <w:r>
        <w:rPr>
          <w:rFonts w:ascii="Times New Roman" w:hAnsi="Times New Roman" w:cs="Times New Roman" w:eastAsiaTheme="minorEastAsia"/>
          <w:b/>
          <w:sz w:val="20"/>
          <w:szCs w:val="20"/>
          <w:lang w:val="en-US" w:eastAsia="zh-CN"/>
        </w:rPr>
        <w:t>Option 2: If defined, only consider electronic VSAT UE. The detailed delay requirements could be as:</w:t>
      </w:r>
    </w:p>
    <w:p>
      <w:pPr>
        <w:spacing w:before="120" w:beforeLines="50" w:after="120" w:afterLines="50"/>
        <w:jc w:val="center"/>
        <w:rPr>
          <w:b/>
          <w:sz w:val="21"/>
          <w:szCs w:val="21"/>
        </w:rPr>
      </w:pPr>
      <w:r>
        <w:rPr>
          <w:b/>
          <w:sz w:val="21"/>
          <w:szCs w:val="21"/>
        </w:rPr>
        <w:t>T</w:t>
      </w:r>
      <w:r>
        <w:rPr>
          <w:b/>
          <w:sz w:val="21"/>
          <w:szCs w:val="21"/>
          <w:vertAlign w:val="subscript"/>
        </w:rPr>
        <w:t>soft_switch</w:t>
      </w:r>
      <w:r>
        <w:rPr>
          <w:b/>
          <w:sz w:val="21"/>
          <w:szCs w:val="21"/>
        </w:rPr>
        <w:t xml:space="preserve"> = max(</w:t>
      </w:r>
      <w:r>
        <w:rPr>
          <w:b/>
          <w:i/>
          <w:sz w:val="21"/>
          <w:szCs w:val="21"/>
        </w:rPr>
        <w:t>t-service</w:t>
      </w:r>
      <w:r>
        <w:rPr>
          <w:rFonts w:eastAsia="PMingLiU"/>
          <w:b/>
          <w:i/>
          <w:sz w:val="21"/>
          <w:szCs w:val="21"/>
        </w:rPr>
        <w:t xml:space="preserve"> </w:t>
      </w:r>
      <w:r>
        <w:rPr>
          <w:b/>
          <w:sz w:val="21"/>
          <w:szCs w:val="21"/>
        </w:rPr>
        <w:t>-</w:t>
      </w:r>
      <w:r>
        <w:rPr>
          <w:rFonts w:eastAsia="PMingLiU"/>
          <w:b/>
          <w:sz w:val="21"/>
          <w:szCs w:val="21"/>
        </w:rPr>
        <w:t xml:space="preserve"> </w:t>
      </w:r>
      <w:r>
        <w:rPr>
          <w:b/>
          <w:i/>
          <w:sz w:val="21"/>
          <w:szCs w:val="21"/>
        </w:rPr>
        <w:t>t-serviceStart</w:t>
      </w:r>
      <w:r>
        <w:rPr>
          <w:b/>
          <w:sz w:val="21"/>
          <w:szCs w:val="21"/>
        </w:rPr>
        <w:t>, T</w:t>
      </w:r>
      <w:r>
        <w:rPr>
          <w:b/>
          <w:sz w:val="21"/>
          <w:szCs w:val="21"/>
          <w:vertAlign w:val="subscript"/>
        </w:rPr>
        <w:t>sat_beam</w:t>
      </w:r>
      <w:r>
        <w:rPr>
          <w:b/>
          <w:sz w:val="21"/>
          <w:szCs w:val="21"/>
        </w:rPr>
        <w:t xml:space="preserve"> + T</w:t>
      </w:r>
      <w:r>
        <w:rPr>
          <w:b/>
          <w:sz w:val="21"/>
          <w:szCs w:val="21"/>
          <w:vertAlign w:val="subscript"/>
        </w:rPr>
        <w:t>search</w:t>
      </w:r>
      <w:r>
        <w:rPr>
          <w:b/>
          <w:sz w:val="21"/>
          <w:szCs w:val="21"/>
        </w:rPr>
        <w:t xml:space="preserve"> + T</w:t>
      </w:r>
      <w:r>
        <w:rPr>
          <w:b/>
          <w:sz w:val="21"/>
          <w:szCs w:val="21"/>
          <w:vertAlign w:val="subscript"/>
        </w:rPr>
        <w:t>∆</w:t>
      </w:r>
      <w:r>
        <w:rPr>
          <w:b/>
          <w:sz w:val="21"/>
          <w:szCs w:val="21"/>
        </w:rPr>
        <w:t xml:space="preserve"> + T</w:t>
      </w:r>
      <w:r>
        <w:rPr>
          <w:b/>
          <w:sz w:val="21"/>
          <w:szCs w:val="21"/>
          <w:vertAlign w:val="subscript"/>
        </w:rPr>
        <w:t>margin</w:t>
      </w:r>
      <w:r>
        <w:rPr>
          <w:b/>
          <w:sz w:val="21"/>
          <w:szCs w:val="21"/>
        </w:rPr>
        <w:t>) + T</w:t>
      </w:r>
      <w:r>
        <w:rPr>
          <w:b/>
          <w:sz w:val="21"/>
          <w:szCs w:val="21"/>
          <w:vertAlign w:val="subscript"/>
        </w:rPr>
        <w:t>processing</w:t>
      </w:r>
      <w:r>
        <w:rPr>
          <w:b/>
          <w:sz w:val="21"/>
          <w:szCs w:val="21"/>
        </w:rPr>
        <w:t xml:space="preserve"> </w:t>
      </w:r>
      <w:r>
        <w:rPr>
          <w:b/>
          <w:sz w:val="21"/>
          <w:szCs w:val="21"/>
          <w:vertAlign w:val="subscript"/>
        </w:rPr>
        <w:t xml:space="preserve"> </w:t>
      </w:r>
      <w:r>
        <w:rPr>
          <w:b/>
          <w:sz w:val="21"/>
          <w:szCs w:val="21"/>
        </w:rPr>
        <w:t>ms</w:t>
      </w:r>
    </w:p>
    <w:p>
      <w:pPr>
        <w:spacing w:before="120" w:beforeLines="50" w:after="120" w:afterLines="50"/>
        <w:rPr>
          <w:rFonts w:hint="eastAsia" w:eastAsiaTheme="minorEastAsia"/>
          <w:b/>
          <w:sz w:val="21"/>
          <w:szCs w:val="21"/>
          <w:lang w:eastAsia="zh-CN"/>
        </w:rPr>
      </w:pPr>
      <w:r>
        <w:rPr>
          <w:rFonts w:eastAsiaTheme="minorEastAsia"/>
          <w:b/>
          <w:sz w:val="21"/>
          <w:szCs w:val="21"/>
          <w:lang w:eastAsia="zh-CN"/>
        </w:rPr>
        <w:t>Proposal 4: If soft satellite switching delay requirements for electronic VSAT UE is defined, scheduling restriction shall also be considered on Ku band.</w:t>
      </w:r>
    </w:p>
    <w:p>
      <w:pPr>
        <w:spacing w:before="120" w:beforeLines="50" w:after="120" w:afterLines="50"/>
        <w:rPr>
          <w:b/>
          <w:bCs/>
          <w:color w:val="000000"/>
        </w:rPr>
      </w:pPr>
      <w:r>
        <w:rPr>
          <w:b/>
          <w:lang w:val="en-US" w:eastAsia="zh-CN"/>
        </w:rPr>
        <w:t xml:space="preserve">Proposal 5: </w:t>
      </w:r>
      <w:r>
        <w:rPr>
          <w:b/>
          <w:bCs/>
          <w:color w:val="000000"/>
        </w:rPr>
        <w:t>Do not define inter-satellite cell reselection requirements in this WI.</w:t>
      </w:r>
    </w:p>
    <w:p>
      <w:pPr>
        <w:spacing w:before="120" w:beforeLines="50" w:after="120" w:afterLines="50"/>
        <w:rPr>
          <w:b/>
          <w:color w:val="000000"/>
          <w:sz w:val="21"/>
          <w:szCs w:val="21"/>
        </w:rPr>
      </w:pPr>
      <w:r>
        <w:rPr>
          <w:b/>
          <w:color w:val="000000"/>
          <w:sz w:val="21"/>
          <w:szCs w:val="21"/>
        </w:rPr>
        <w:t xml:space="preserve">Proposal 6: </w:t>
      </w:r>
      <w:r>
        <w:rPr>
          <w:rFonts w:eastAsiaTheme="minorEastAsia"/>
          <w:b/>
          <w:lang w:eastAsia="zh-CN"/>
        </w:rPr>
        <w:t>L</w:t>
      </w:r>
      <w:r>
        <w:rPr>
          <w:rFonts w:eastAsiaTheme="minorEastAsia"/>
          <w:b/>
          <w:vertAlign w:val="subscript"/>
          <w:lang w:eastAsia="zh-CN"/>
        </w:rPr>
        <w:t>MAX</w:t>
      </w:r>
      <w:r>
        <w:rPr>
          <w:rFonts w:eastAsiaTheme="minorEastAsia"/>
          <w:b/>
          <w:lang w:eastAsia="zh-CN"/>
        </w:rPr>
        <w:t xml:space="preserve"> defined for FR1-NTN applies for VSAT working in FR1-NTN. Meanwhile, </w:t>
      </w:r>
      <w:r>
        <w:rPr>
          <w:b/>
          <w:color w:val="000000"/>
          <w:sz w:val="21"/>
          <w:szCs w:val="21"/>
        </w:rPr>
        <w:t>L</w:t>
      </w:r>
      <w:r>
        <w:rPr>
          <w:b/>
          <w:color w:val="000000"/>
          <w:sz w:val="21"/>
          <w:szCs w:val="21"/>
          <w:vertAlign w:val="subscript"/>
        </w:rPr>
        <w:t>Max</w:t>
      </w:r>
      <w:r>
        <w:rPr>
          <w:b/>
          <w:color w:val="000000"/>
          <w:sz w:val="21"/>
          <w:szCs w:val="21"/>
        </w:rPr>
        <w:t xml:space="preserve"> is equal to 8 for FR1-</w:t>
      </w:r>
      <w:r>
        <w:rPr>
          <w:rFonts w:hint="eastAsia"/>
          <w:b/>
          <w:color w:val="000000"/>
          <w:sz w:val="21"/>
          <w:szCs w:val="21"/>
        </w:rPr>
        <w:t>NT</w:t>
      </w:r>
      <w:r>
        <w:rPr>
          <w:b/>
          <w:color w:val="000000"/>
          <w:sz w:val="21"/>
          <w:szCs w:val="21"/>
        </w:rPr>
        <w:t>N numerolgoy, and 64 for FR2-NTN numerology. RAN4 shall not change table 8.1C.1-2.</w:t>
      </w:r>
    </w:p>
    <w:p>
      <w:pPr>
        <w:spacing w:before="120" w:beforeLines="50" w:after="120" w:afterLines="50"/>
        <w:rPr>
          <w:rFonts w:hint="eastAsia" w:eastAsiaTheme="minorEastAsia"/>
          <w:b/>
          <w:lang w:eastAsia="zh-CN"/>
        </w:rPr>
      </w:pPr>
      <w:r>
        <w:rPr>
          <w:rFonts w:eastAsiaTheme="minorEastAsia"/>
          <w:b/>
          <w:lang w:eastAsia="zh-CN"/>
        </w:rPr>
        <w:t xml:space="preserve">Proposal 7: </w:t>
      </w:r>
      <w:r>
        <w:rPr>
          <w:b/>
          <w:color w:val="000000"/>
          <w:szCs w:val="21"/>
          <w:lang w:val="en-US"/>
        </w:rPr>
        <w:t>For Ku-band in FR2-NTN numerology, not to change the existing terminologies: ‘VSAT UE in FR2-NTN’ and ‘FR2-NTN’.</w:t>
      </w:r>
    </w:p>
    <w:p>
      <w:pPr>
        <w:pStyle w:val="77"/>
        <w:numPr>
          <w:ilvl w:val="0"/>
          <w:numId w:val="0"/>
        </w:numPr>
        <w:ind w:left="360" w:hanging="360"/>
        <w:rPr>
          <w:lang w:val="en-US"/>
        </w:rPr>
      </w:pPr>
      <w:r>
        <w:rPr>
          <w:lang w:val="en-US"/>
        </w:rPr>
        <w:t>References</w:t>
      </w:r>
    </w:p>
    <w:p>
      <w:pPr>
        <w:numPr>
          <w:ilvl w:val="0"/>
          <w:numId w:val="12"/>
        </w:numPr>
        <w:rPr>
          <w:lang w:val="en-US" w:eastAsia="zh-CN"/>
        </w:rPr>
      </w:pPr>
      <w:bookmarkStart w:id="2" w:name="_Ref114500673"/>
      <w:bookmarkEnd w:id="2"/>
      <w:r>
        <w:t>RP-2</w:t>
      </w:r>
      <w:r>
        <w:rPr>
          <w:rFonts w:hint="eastAsia" w:eastAsia="宋体"/>
          <w:lang w:val="en-US" w:eastAsia="zh-CN"/>
        </w:rPr>
        <w:t>43314</w:t>
      </w:r>
      <w:r>
        <w:rPr>
          <w:rFonts w:hint="eastAsia"/>
          <w:lang w:eastAsia="zh-CN"/>
        </w:rPr>
        <w:t>,</w:t>
      </w:r>
      <w:r>
        <w:rPr>
          <w:lang w:eastAsia="zh-CN"/>
        </w:rPr>
        <w:t xml:space="preserve"> </w:t>
      </w:r>
      <w:r>
        <w:rPr>
          <w:rFonts w:hint="eastAsia"/>
          <w:lang w:eastAsia="zh-CN"/>
        </w:rPr>
        <w:t xml:space="preserve">Revised WID: </w:t>
      </w:r>
      <w:r>
        <w:rPr>
          <w:rFonts w:hint="eastAsia"/>
          <w:lang w:val="en-US" w:eastAsia="zh-CN"/>
        </w:rPr>
        <w:t>Introduction of Ku bands for NR NTN.</w:t>
      </w:r>
    </w:p>
    <w:p>
      <w:pPr>
        <w:numPr>
          <w:ilvl w:val="0"/>
          <w:numId w:val="12"/>
        </w:numPr>
        <w:rPr>
          <w:lang w:val="en-US" w:eastAsia="zh-CN"/>
        </w:rPr>
      </w:pPr>
      <w:r>
        <w:rPr>
          <w:rFonts w:hint="eastAsia"/>
          <w:lang w:val="en-US" w:eastAsia="zh-CN"/>
        </w:rPr>
        <w:t>R4-250</w:t>
      </w:r>
      <w:r>
        <w:rPr>
          <w:lang w:val="en-US" w:eastAsia="zh-CN"/>
        </w:rPr>
        <w:t>8262</w:t>
      </w:r>
      <w:r>
        <w:rPr>
          <w:rFonts w:hint="eastAsia"/>
          <w:lang w:val="en-US" w:eastAsia="zh-CN"/>
        </w:rPr>
        <w:t>, WF on RRM requirements for NR_NTN_Ku_bands, Apple.</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A3B31"/>
    <w:multiLevelType w:val="multilevel"/>
    <w:tmpl w:val="925A3B31"/>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07EB7B14"/>
    <w:multiLevelType w:val="multilevel"/>
    <w:tmpl w:val="07EB7B14"/>
    <w:lvl w:ilvl="0" w:tentative="0">
      <w:start w:val="1"/>
      <w:numFmt w:val="bullet"/>
      <w:lvlText w:val="•"/>
      <w:lvlJc w:val="left"/>
      <w:pPr>
        <w:ind w:left="20" w:hanging="400"/>
      </w:pPr>
      <w:rPr>
        <w:rFonts w:hint="default" w:ascii="Arial" w:hAnsi="Arial" w:cs="Arial"/>
      </w:rPr>
    </w:lvl>
    <w:lvl w:ilvl="1" w:tentative="0">
      <w:start w:val="1"/>
      <w:numFmt w:val="bullet"/>
      <w:lvlText w:val=""/>
      <w:lvlJc w:val="left"/>
      <w:pPr>
        <w:ind w:left="420" w:hanging="400"/>
      </w:pPr>
      <w:rPr>
        <w:rFonts w:hint="default" w:ascii="Wingdings" w:hAnsi="Wingdings"/>
      </w:rPr>
    </w:lvl>
    <w:lvl w:ilvl="2" w:tentative="0">
      <w:start w:val="1"/>
      <w:numFmt w:val="bullet"/>
      <w:lvlText w:val=""/>
      <w:lvlJc w:val="left"/>
      <w:pPr>
        <w:ind w:left="820" w:hanging="400"/>
      </w:pPr>
      <w:rPr>
        <w:rFonts w:hint="default" w:ascii="Wingdings" w:hAnsi="Wingdings"/>
      </w:rPr>
    </w:lvl>
    <w:lvl w:ilvl="3" w:tentative="0">
      <w:start w:val="1"/>
      <w:numFmt w:val="bullet"/>
      <w:lvlText w:val=""/>
      <w:lvlJc w:val="left"/>
      <w:pPr>
        <w:ind w:left="1220" w:hanging="400"/>
      </w:pPr>
      <w:rPr>
        <w:rFonts w:hint="default" w:ascii="Wingdings" w:hAnsi="Wingdings"/>
      </w:rPr>
    </w:lvl>
    <w:lvl w:ilvl="4" w:tentative="0">
      <w:start w:val="1"/>
      <w:numFmt w:val="bullet"/>
      <w:lvlText w:val=""/>
      <w:lvlJc w:val="left"/>
      <w:pPr>
        <w:ind w:left="1620" w:hanging="400"/>
      </w:pPr>
      <w:rPr>
        <w:rFonts w:hint="default" w:ascii="Wingdings" w:hAnsi="Wingdings"/>
      </w:rPr>
    </w:lvl>
    <w:lvl w:ilvl="5" w:tentative="0">
      <w:start w:val="1"/>
      <w:numFmt w:val="bullet"/>
      <w:lvlText w:val=""/>
      <w:lvlJc w:val="left"/>
      <w:pPr>
        <w:ind w:left="2020" w:hanging="400"/>
      </w:pPr>
      <w:rPr>
        <w:rFonts w:hint="default" w:ascii="Wingdings" w:hAnsi="Wingdings"/>
      </w:rPr>
    </w:lvl>
    <w:lvl w:ilvl="6" w:tentative="0">
      <w:start w:val="1"/>
      <w:numFmt w:val="bullet"/>
      <w:lvlText w:val=""/>
      <w:lvlJc w:val="left"/>
      <w:pPr>
        <w:ind w:left="2420" w:hanging="400"/>
      </w:pPr>
      <w:rPr>
        <w:rFonts w:hint="default" w:ascii="Wingdings" w:hAnsi="Wingdings"/>
      </w:rPr>
    </w:lvl>
    <w:lvl w:ilvl="7" w:tentative="0">
      <w:start w:val="1"/>
      <w:numFmt w:val="bullet"/>
      <w:lvlText w:val=""/>
      <w:lvlJc w:val="left"/>
      <w:pPr>
        <w:ind w:left="2820" w:hanging="400"/>
      </w:pPr>
      <w:rPr>
        <w:rFonts w:hint="default" w:ascii="Wingdings" w:hAnsi="Wingdings"/>
      </w:rPr>
    </w:lvl>
    <w:lvl w:ilvl="8" w:tentative="0">
      <w:start w:val="1"/>
      <w:numFmt w:val="bullet"/>
      <w:lvlText w:val=""/>
      <w:lvlJc w:val="left"/>
      <w:pPr>
        <w:ind w:left="3220" w:hanging="400"/>
      </w:pPr>
      <w:rPr>
        <w:rFonts w:hint="default" w:ascii="Wingdings" w:hAnsi="Wingdings"/>
      </w:rPr>
    </w:lvl>
  </w:abstractNum>
  <w:abstractNum w:abstractNumId="2">
    <w:nsid w:val="11B0404C"/>
    <w:multiLevelType w:val="multilevel"/>
    <w:tmpl w:val="11B0404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F8AB0F9"/>
    <w:multiLevelType w:val="multilevel"/>
    <w:tmpl w:val="1F8AB0F9"/>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2A3A3AEB"/>
    <w:multiLevelType w:val="multilevel"/>
    <w:tmpl w:val="2A3A3AEB"/>
    <w:lvl w:ilvl="0" w:tentative="0">
      <w:start w:val="5"/>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6">
    <w:nsid w:val="5BB74B74"/>
    <w:multiLevelType w:val="multilevel"/>
    <w:tmpl w:val="5BB74B7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EE4252F"/>
    <w:multiLevelType w:val="multilevel"/>
    <w:tmpl w:val="5EE4252F"/>
    <w:lvl w:ilvl="0" w:tentative="0">
      <w:start w:val="5"/>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6FF9DC81"/>
    <w:multiLevelType w:val="singleLevel"/>
    <w:tmpl w:val="6FF9DC81"/>
    <w:lvl w:ilvl="0" w:tentative="0">
      <w:start w:val="1"/>
      <w:numFmt w:val="decimal"/>
      <w:suff w:val="space"/>
      <w:lvlText w:val="[%1]"/>
      <w:lvlJc w:val="left"/>
    </w:lvl>
  </w:abstractNum>
  <w:abstractNum w:abstractNumId="10">
    <w:nsid w:val="751B6B2A"/>
    <w:multiLevelType w:val="multilevel"/>
    <w:tmpl w:val="751B6B2A"/>
    <w:lvl w:ilvl="0" w:tentative="0">
      <w:start w:val="5"/>
      <w:numFmt w:val="bullet"/>
      <w:lvlText w:val="-"/>
      <w:lvlJc w:val="left"/>
      <w:pPr>
        <w:ind w:left="720" w:hanging="360"/>
      </w:pPr>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6C3692A"/>
    <w:multiLevelType w:val="multilevel"/>
    <w:tmpl w:val="76C3692A"/>
    <w:lvl w:ilvl="0" w:tentative="0">
      <w:start w:val="5"/>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5"/>
  </w:num>
  <w:num w:numId="3">
    <w:abstractNumId w:val="0"/>
  </w:num>
  <w:num w:numId="4">
    <w:abstractNumId w:val="3"/>
  </w:num>
  <w:num w:numId="5">
    <w:abstractNumId w:val="10"/>
  </w:num>
  <w:num w:numId="6">
    <w:abstractNumId w:val="1"/>
  </w:num>
  <w:num w:numId="7">
    <w:abstractNumId w:val="4"/>
  </w:num>
  <w:num w:numId="8">
    <w:abstractNumId w:val="6"/>
  </w:num>
  <w:num w:numId="9">
    <w:abstractNumId w:val="2"/>
  </w:num>
  <w:num w:numId="10">
    <w:abstractNumId w:val="11"/>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71165"/>
    <w:rsid w:val="00774DA4"/>
    <w:rsid w:val="00781F0F"/>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629BA"/>
    <w:rsid w:val="01295F0D"/>
    <w:rsid w:val="01410DC2"/>
    <w:rsid w:val="01511039"/>
    <w:rsid w:val="01536085"/>
    <w:rsid w:val="0158163D"/>
    <w:rsid w:val="01590644"/>
    <w:rsid w:val="015E5540"/>
    <w:rsid w:val="01652E48"/>
    <w:rsid w:val="018F1743"/>
    <w:rsid w:val="018F25C8"/>
    <w:rsid w:val="01906A5B"/>
    <w:rsid w:val="01907C39"/>
    <w:rsid w:val="01A050D6"/>
    <w:rsid w:val="01BF1FED"/>
    <w:rsid w:val="01CB4B95"/>
    <w:rsid w:val="01D1338A"/>
    <w:rsid w:val="01E70C97"/>
    <w:rsid w:val="01EA15CF"/>
    <w:rsid w:val="020172F7"/>
    <w:rsid w:val="0227513D"/>
    <w:rsid w:val="023A64A7"/>
    <w:rsid w:val="02402E7C"/>
    <w:rsid w:val="024205C1"/>
    <w:rsid w:val="02505886"/>
    <w:rsid w:val="02667EA7"/>
    <w:rsid w:val="027F2CA3"/>
    <w:rsid w:val="029011A2"/>
    <w:rsid w:val="029119C5"/>
    <w:rsid w:val="029C2FAD"/>
    <w:rsid w:val="02A03627"/>
    <w:rsid w:val="02A602E6"/>
    <w:rsid w:val="02AE5D6F"/>
    <w:rsid w:val="02BB37DF"/>
    <w:rsid w:val="02BD4751"/>
    <w:rsid w:val="02DB4554"/>
    <w:rsid w:val="02EC4357"/>
    <w:rsid w:val="02EE768C"/>
    <w:rsid w:val="02FA1082"/>
    <w:rsid w:val="031778E0"/>
    <w:rsid w:val="0327096F"/>
    <w:rsid w:val="032A315A"/>
    <w:rsid w:val="03481CC2"/>
    <w:rsid w:val="034E163D"/>
    <w:rsid w:val="034F527C"/>
    <w:rsid w:val="035E7A94"/>
    <w:rsid w:val="037A1871"/>
    <w:rsid w:val="038E7FF3"/>
    <w:rsid w:val="03983AC0"/>
    <w:rsid w:val="03A1038B"/>
    <w:rsid w:val="03B3498A"/>
    <w:rsid w:val="03BF3D9F"/>
    <w:rsid w:val="03C80AD2"/>
    <w:rsid w:val="03C95263"/>
    <w:rsid w:val="03D31FB0"/>
    <w:rsid w:val="03EF3B00"/>
    <w:rsid w:val="03F0584F"/>
    <w:rsid w:val="03FB5627"/>
    <w:rsid w:val="04076F95"/>
    <w:rsid w:val="040E43A3"/>
    <w:rsid w:val="041C7AF3"/>
    <w:rsid w:val="04242812"/>
    <w:rsid w:val="04383CC9"/>
    <w:rsid w:val="04421BA4"/>
    <w:rsid w:val="04455C06"/>
    <w:rsid w:val="044B12E0"/>
    <w:rsid w:val="045E041F"/>
    <w:rsid w:val="046301A2"/>
    <w:rsid w:val="046D095B"/>
    <w:rsid w:val="04727A0B"/>
    <w:rsid w:val="04732FB8"/>
    <w:rsid w:val="04871DE8"/>
    <w:rsid w:val="048F6485"/>
    <w:rsid w:val="04A12403"/>
    <w:rsid w:val="04A45BAD"/>
    <w:rsid w:val="04A815F7"/>
    <w:rsid w:val="04AD06A4"/>
    <w:rsid w:val="04BD1E3A"/>
    <w:rsid w:val="04EF7AAD"/>
    <w:rsid w:val="04F0022B"/>
    <w:rsid w:val="050C7718"/>
    <w:rsid w:val="05214F03"/>
    <w:rsid w:val="053F6A98"/>
    <w:rsid w:val="0555772A"/>
    <w:rsid w:val="055E02FB"/>
    <w:rsid w:val="055E4EBB"/>
    <w:rsid w:val="056A3BE2"/>
    <w:rsid w:val="05AE2916"/>
    <w:rsid w:val="05B105BF"/>
    <w:rsid w:val="05B1379B"/>
    <w:rsid w:val="05C6466C"/>
    <w:rsid w:val="05CA02F3"/>
    <w:rsid w:val="05DB67C3"/>
    <w:rsid w:val="05DE172A"/>
    <w:rsid w:val="05E84F40"/>
    <w:rsid w:val="05F02736"/>
    <w:rsid w:val="05F24812"/>
    <w:rsid w:val="05FC3F93"/>
    <w:rsid w:val="06026AB1"/>
    <w:rsid w:val="060D0D66"/>
    <w:rsid w:val="062C2061"/>
    <w:rsid w:val="06311BAC"/>
    <w:rsid w:val="065345F9"/>
    <w:rsid w:val="067C67DB"/>
    <w:rsid w:val="068158A4"/>
    <w:rsid w:val="06895B05"/>
    <w:rsid w:val="068E6EF2"/>
    <w:rsid w:val="069071A1"/>
    <w:rsid w:val="06910540"/>
    <w:rsid w:val="06916ADD"/>
    <w:rsid w:val="06D870D9"/>
    <w:rsid w:val="06E645CC"/>
    <w:rsid w:val="07007517"/>
    <w:rsid w:val="07073FA3"/>
    <w:rsid w:val="07171EC2"/>
    <w:rsid w:val="0726771F"/>
    <w:rsid w:val="072F7FC6"/>
    <w:rsid w:val="0732584E"/>
    <w:rsid w:val="07390858"/>
    <w:rsid w:val="073F724E"/>
    <w:rsid w:val="07514512"/>
    <w:rsid w:val="075A7EF6"/>
    <w:rsid w:val="076202A2"/>
    <w:rsid w:val="07653481"/>
    <w:rsid w:val="07666F25"/>
    <w:rsid w:val="076A2A73"/>
    <w:rsid w:val="07AE506C"/>
    <w:rsid w:val="07C22AAD"/>
    <w:rsid w:val="07C3764D"/>
    <w:rsid w:val="07D3662C"/>
    <w:rsid w:val="07E268EA"/>
    <w:rsid w:val="07F66AC5"/>
    <w:rsid w:val="08336294"/>
    <w:rsid w:val="0833764C"/>
    <w:rsid w:val="08380F8C"/>
    <w:rsid w:val="084677D5"/>
    <w:rsid w:val="0848005E"/>
    <w:rsid w:val="084B1A9E"/>
    <w:rsid w:val="084C657D"/>
    <w:rsid w:val="084D12F0"/>
    <w:rsid w:val="084F7150"/>
    <w:rsid w:val="086F3665"/>
    <w:rsid w:val="087B6B61"/>
    <w:rsid w:val="087E40F9"/>
    <w:rsid w:val="08916AA8"/>
    <w:rsid w:val="089F664F"/>
    <w:rsid w:val="08A203F3"/>
    <w:rsid w:val="08AF00C1"/>
    <w:rsid w:val="08B531C0"/>
    <w:rsid w:val="08BB1078"/>
    <w:rsid w:val="08BD1F16"/>
    <w:rsid w:val="08D53034"/>
    <w:rsid w:val="08DA28B3"/>
    <w:rsid w:val="08DD2BEF"/>
    <w:rsid w:val="08F445A7"/>
    <w:rsid w:val="0903652D"/>
    <w:rsid w:val="090556C6"/>
    <w:rsid w:val="09097FE0"/>
    <w:rsid w:val="09104DCD"/>
    <w:rsid w:val="092060A3"/>
    <w:rsid w:val="09336C26"/>
    <w:rsid w:val="094C40B4"/>
    <w:rsid w:val="094E3C0B"/>
    <w:rsid w:val="095216D9"/>
    <w:rsid w:val="095E38C5"/>
    <w:rsid w:val="095F4CFB"/>
    <w:rsid w:val="09606948"/>
    <w:rsid w:val="096C2283"/>
    <w:rsid w:val="096E0D4F"/>
    <w:rsid w:val="09736AE0"/>
    <w:rsid w:val="097F70D9"/>
    <w:rsid w:val="098F25F4"/>
    <w:rsid w:val="099377E9"/>
    <w:rsid w:val="09A028E1"/>
    <w:rsid w:val="09E30E5D"/>
    <w:rsid w:val="09E92511"/>
    <w:rsid w:val="09FE7278"/>
    <w:rsid w:val="0A134329"/>
    <w:rsid w:val="0A143BE1"/>
    <w:rsid w:val="0A286DFB"/>
    <w:rsid w:val="0A5164D1"/>
    <w:rsid w:val="0A537B69"/>
    <w:rsid w:val="0A6C43DE"/>
    <w:rsid w:val="0A9318B7"/>
    <w:rsid w:val="0AB64743"/>
    <w:rsid w:val="0ABC02E8"/>
    <w:rsid w:val="0AC16484"/>
    <w:rsid w:val="0ACB2015"/>
    <w:rsid w:val="0AD20D5E"/>
    <w:rsid w:val="0AD555AC"/>
    <w:rsid w:val="0AED24FC"/>
    <w:rsid w:val="0AFF2EBF"/>
    <w:rsid w:val="0B0F4A80"/>
    <w:rsid w:val="0B106A85"/>
    <w:rsid w:val="0B1B1997"/>
    <w:rsid w:val="0B24532C"/>
    <w:rsid w:val="0B3F6621"/>
    <w:rsid w:val="0B4D2A88"/>
    <w:rsid w:val="0B527B25"/>
    <w:rsid w:val="0B5E0983"/>
    <w:rsid w:val="0B6A4840"/>
    <w:rsid w:val="0B707256"/>
    <w:rsid w:val="0B7129F9"/>
    <w:rsid w:val="0B744B6D"/>
    <w:rsid w:val="0B7E60C9"/>
    <w:rsid w:val="0B8730CC"/>
    <w:rsid w:val="0B927AF3"/>
    <w:rsid w:val="0B994E16"/>
    <w:rsid w:val="0BA069F6"/>
    <w:rsid w:val="0BB6397D"/>
    <w:rsid w:val="0BB64746"/>
    <w:rsid w:val="0BE05B3D"/>
    <w:rsid w:val="0BEF4F2C"/>
    <w:rsid w:val="0BF03462"/>
    <w:rsid w:val="0BF56721"/>
    <w:rsid w:val="0BFE233D"/>
    <w:rsid w:val="0C165A64"/>
    <w:rsid w:val="0C1A3B45"/>
    <w:rsid w:val="0C34437F"/>
    <w:rsid w:val="0C485EB3"/>
    <w:rsid w:val="0C5161F8"/>
    <w:rsid w:val="0C52360D"/>
    <w:rsid w:val="0C5919D1"/>
    <w:rsid w:val="0C7C1976"/>
    <w:rsid w:val="0C7F638D"/>
    <w:rsid w:val="0C89627C"/>
    <w:rsid w:val="0CA556FA"/>
    <w:rsid w:val="0CAA3B0C"/>
    <w:rsid w:val="0CAC6DE2"/>
    <w:rsid w:val="0CBA5E3E"/>
    <w:rsid w:val="0CC5327E"/>
    <w:rsid w:val="0CC82BF8"/>
    <w:rsid w:val="0CCB3B11"/>
    <w:rsid w:val="0CDE55BC"/>
    <w:rsid w:val="0CDF3914"/>
    <w:rsid w:val="0CEA2CF7"/>
    <w:rsid w:val="0CFA5129"/>
    <w:rsid w:val="0CFF59E2"/>
    <w:rsid w:val="0D035130"/>
    <w:rsid w:val="0D23336E"/>
    <w:rsid w:val="0D284B82"/>
    <w:rsid w:val="0D2A42A8"/>
    <w:rsid w:val="0D343FE9"/>
    <w:rsid w:val="0D3A5239"/>
    <w:rsid w:val="0D3A7039"/>
    <w:rsid w:val="0D4356A8"/>
    <w:rsid w:val="0D501A6D"/>
    <w:rsid w:val="0D636B53"/>
    <w:rsid w:val="0D7E2680"/>
    <w:rsid w:val="0D8735F9"/>
    <w:rsid w:val="0D8972A3"/>
    <w:rsid w:val="0D8C5235"/>
    <w:rsid w:val="0D94436C"/>
    <w:rsid w:val="0D980C13"/>
    <w:rsid w:val="0DB13C44"/>
    <w:rsid w:val="0DB40989"/>
    <w:rsid w:val="0DB607B8"/>
    <w:rsid w:val="0DC22600"/>
    <w:rsid w:val="0DC51AC4"/>
    <w:rsid w:val="0DC63EF2"/>
    <w:rsid w:val="0DD75C5E"/>
    <w:rsid w:val="0DE9579A"/>
    <w:rsid w:val="0DFF4B13"/>
    <w:rsid w:val="0E093416"/>
    <w:rsid w:val="0E2D4DCF"/>
    <w:rsid w:val="0E402695"/>
    <w:rsid w:val="0E673CAF"/>
    <w:rsid w:val="0E6B4543"/>
    <w:rsid w:val="0E777792"/>
    <w:rsid w:val="0E797961"/>
    <w:rsid w:val="0E7B1FCA"/>
    <w:rsid w:val="0E880E39"/>
    <w:rsid w:val="0E9D025B"/>
    <w:rsid w:val="0EA3277B"/>
    <w:rsid w:val="0EA8225F"/>
    <w:rsid w:val="0EAA24D5"/>
    <w:rsid w:val="0EB12E2A"/>
    <w:rsid w:val="0ED01837"/>
    <w:rsid w:val="0ED33A29"/>
    <w:rsid w:val="0EF97174"/>
    <w:rsid w:val="0F021563"/>
    <w:rsid w:val="0F0F3D45"/>
    <w:rsid w:val="0F180250"/>
    <w:rsid w:val="0F2550AA"/>
    <w:rsid w:val="0F255367"/>
    <w:rsid w:val="0F266A1B"/>
    <w:rsid w:val="0F2B146F"/>
    <w:rsid w:val="0F2F36F8"/>
    <w:rsid w:val="0F3A116B"/>
    <w:rsid w:val="0F4C6463"/>
    <w:rsid w:val="0F511411"/>
    <w:rsid w:val="0F703346"/>
    <w:rsid w:val="0F80004E"/>
    <w:rsid w:val="0F871EAB"/>
    <w:rsid w:val="0F9F1528"/>
    <w:rsid w:val="0FA6689D"/>
    <w:rsid w:val="0FDF5A14"/>
    <w:rsid w:val="1008703A"/>
    <w:rsid w:val="10126FBC"/>
    <w:rsid w:val="101A497B"/>
    <w:rsid w:val="102925AB"/>
    <w:rsid w:val="103809FF"/>
    <w:rsid w:val="10655CF3"/>
    <w:rsid w:val="10764104"/>
    <w:rsid w:val="108230A5"/>
    <w:rsid w:val="10854519"/>
    <w:rsid w:val="10895A07"/>
    <w:rsid w:val="108C64EF"/>
    <w:rsid w:val="10925EE1"/>
    <w:rsid w:val="1096068D"/>
    <w:rsid w:val="10B951CF"/>
    <w:rsid w:val="10BA53FD"/>
    <w:rsid w:val="10BB3068"/>
    <w:rsid w:val="10C23AFA"/>
    <w:rsid w:val="10D82C05"/>
    <w:rsid w:val="10DF078E"/>
    <w:rsid w:val="10FF2114"/>
    <w:rsid w:val="110E3EB6"/>
    <w:rsid w:val="11131D94"/>
    <w:rsid w:val="111778A8"/>
    <w:rsid w:val="111E4B32"/>
    <w:rsid w:val="1124277B"/>
    <w:rsid w:val="113D59D7"/>
    <w:rsid w:val="11421E5E"/>
    <w:rsid w:val="115958E8"/>
    <w:rsid w:val="11617971"/>
    <w:rsid w:val="11622F64"/>
    <w:rsid w:val="116C0AA4"/>
    <w:rsid w:val="116F4939"/>
    <w:rsid w:val="11846297"/>
    <w:rsid w:val="118660F9"/>
    <w:rsid w:val="119B169F"/>
    <w:rsid w:val="11AD4D58"/>
    <w:rsid w:val="11B67206"/>
    <w:rsid w:val="11BA4661"/>
    <w:rsid w:val="11BA6A1A"/>
    <w:rsid w:val="11E3621C"/>
    <w:rsid w:val="11E411C4"/>
    <w:rsid w:val="11EE75FC"/>
    <w:rsid w:val="11FA2349"/>
    <w:rsid w:val="12044AB3"/>
    <w:rsid w:val="120E0A30"/>
    <w:rsid w:val="120E4E60"/>
    <w:rsid w:val="12124AB5"/>
    <w:rsid w:val="12342A01"/>
    <w:rsid w:val="12381464"/>
    <w:rsid w:val="12533BE9"/>
    <w:rsid w:val="125B1CEE"/>
    <w:rsid w:val="126548EE"/>
    <w:rsid w:val="12817181"/>
    <w:rsid w:val="129E267E"/>
    <w:rsid w:val="129E41E5"/>
    <w:rsid w:val="12AA4BE9"/>
    <w:rsid w:val="12AD464A"/>
    <w:rsid w:val="12C003F7"/>
    <w:rsid w:val="12C7679B"/>
    <w:rsid w:val="12CB658F"/>
    <w:rsid w:val="12CC34CB"/>
    <w:rsid w:val="12D04177"/>
    <w:rsid w:val="12DD774D"/>
    <w:rsid w:val="12E20B88"/>
    <w:rsid w:val="12E85A12"/>
    <w:rsid w:val="12EB04FE"/>
    <w:rsid w:val="12FD3C17"/>
    <w:rsid w:val="13012566"/>
    <w:rsid w:val="13026866"/>
    <w:rsid w:val="131F3842"/>
    <w:rsid w:val="133E4EC4"/>
    <w:rsid w:val="136404F3"/>
    <w:rsid w:val="137256CA"/>
    <w:rsid w:val="137E2663"/>
    <w:rsid w:val="13AD48CA"/>
    <w:rsid w:val="13B61E8E"/>
    <w:rsid w:val="13BD2572"/>
    <w:rsid w:val="13BE1FBB"/>
    <w:rsid w:val="13C23A1B"/>
    <w:rsid w:val="13C76244"/>
    <w:rsid w:val="13CF28FB"/>
    <w:rsid w:val="13DA7C15"/>
    <w:rsid w:val="13EA5E5F"/>
    <w:rsid w:val="13FF0D0B"/>
    <w:rsid w:val="14107AE9"/>
    <w:rsid w:val="14175E0A"/>
    <w:rsid w:val="141F1BA5"/>
    <w:rsid w:val="142A2204"/>
    <w:rsid w:val="14446EDD"/>
    <w:rsid w:val="146B26BB"/>
    <w:rsid w:val="1472255F"/>
    <w:rsid w:val="14782396"/>
    <w:rsid w:val="148942E3"/>
    <w:rsid w:val="148B031E"/>
    <w:rsid w:val="14AC25B0"/>
    <w:rsid w:val="14AE0BED"/>
    <w:rsid w:val="14AF303C"/>
    <w:rsid w:val="14BE55AD"/>
    <w:rsid w:val="14E00FC5"/>
    <w:rsid w:val="14E21050"/>
    <w:rsid w:val="14E52CFF"/>
    <w:rsid w:val="14EE2BDA"/>
    <w:rsid w:val="1502113A"/>
    <w:rsid w:val="150D2EFA"/>
    <w:rsid w:val="151308D4"/>
    <w:rsid w:val="151E3433"/>
    <w:rsid w:val="15250257"/>
    <w:rsid w:val="15250840"/>
    <w:rsid w:val="15281376"/>
    <w:rsid w:val="1534197E"/>
    <w:rsid w:val="1538725F"/>
    <w:rsid w:val="15422545"/>
    <w:rsid w:val="155778C6"/>
    <w:rsid w:val="156508EF"/>
    <w:rsid w:val="15693006"/>
    <w:rsid w:val="156A5AB1"/>
    <w:rsid w:val="15716A99"/>
    <w:rsid w:val="157177C3"/>
    <w:rsid w:val="1581047E"/>
    <w:rsid w:val="15890531"/>
    <w:rsid w:val="15895642"/>
    <w:rsid w:val="15A444EB"/>
    <w:rsid w:val="15B0540D"/>
    <w:rsid w:val="15B7532E"/>
    <w:rsid w:val="15C56F14"/>
    <w:rsid w:val="15C84147"/>
    <w:rsid w:val="15CA017F"/>
    <w:rsid w:val="15D71AD5"/>
    <w:rsid w:val="15DC38C2"/>
    <w:rsid w:val="15F23B4A"/>
    <w:rsid w:val="15FC08F6"/>
    <w:rsid w:val="164442E3"/>
    <w:rsid w:val="1646133C"/>
    <w:rsid w:val="165931D9"/>
    <w:rsid w:val="16682D3E"/>
    <w:rsid w:val="167046E9"/>
    <w:rsid w:val="167E382D"/>
    <w:rsid w:val="168143F4"/>
    <w:rsid w:val="16A5066B"/>
    <w:rsid w:val="16C974D4"/>
    <w:rsid w:val="16D43DC5"/>
    <w:rsid w:val="16DB7C16"/>
    <w:rsid w:val="16DC0535"/>
    <w:rsid w:val="16F956D8"/>
    <w:rsid w:val="170716B6"/>
    <w:rsid w:val="17315D5C"/>
    <w:rsid w:val="17474573"/>
    <w:rsid w:val="1748083E"/>
    <w:rsid w:val="174D24DD"/>
    <w:rsid w:val="17505641"/>
    <w:rsid w:val="17553F9F"/>
    <w:rsid w:val="175623CE"/>
    <w:rsid w:val="176538DA"/>
    <w:rsid w:val="178246D4"/>
    <w:rsid w:val="17914610"/>
    <w:rsid w:val="1794775D"/>
    <w:rsid w:val="17A24A7D"/>
    <w:rsid w:val="17C376AD"/>
    <w:rsid w:val="17CB4905"/>
    <w:rsid w:val="17D01F3A"/>
    <w:rsid w:val="17DC7DAF"/>
    <w:rsid w:val="17DD1CB2"/>
    <w:rsid w:val="17DF40F7"/>
    <w:rsid w:val="180224D1"/>
    <w:rsid w:val="180E4FC5"/>
    <w:rsid w:val="18170B93"/>
    <w:rsid w:val="18171331"/>
    <w:rsid w:val="18243C58"/>
    <w:rsid w:val="18396192"/>
    <w:rsid w:val="18466B2E"/>
    <w:rsid w:val="184A4BE3"/>
    <w:rsid w:val="185060EC"/>
    <w:rsid w:val="185A42FA"/>
    <w:rsid w:val="186829A6"/>
    <w:rsid w:val="18870C54"/>
    <w:rsid w:val="189D2207"/>
    <w:rsid w:val="189D4742"/>
    <w:rsid w:val="18A211F6"/>
    <w:rsid w:val="18A45C40"/>
    <w:rsid w:val="18B41D16"/>
    <w:rsid w:val="18D57338"/>
    <w:rsid w:val="18D659D2"/>
    <w:rsid w:val="18D82C9E"/>
    <w:rsid w:val="18E96032"/>
    <w:rsid w:val="18EE62E8"/>
    <w:rsid w:val="18EF6677"/>
    <w:rsid w:val="18F62584"/>
    <w:rsid w:val="18F96461"/>
    <w:rsid w:val="1903629F"/>
    <w:rsid w:val="19116F8E"/>
    <w:rsid w:val="191F13C5"/>
    <w:rsid w:val="192344FC"/>
    <w:rsid w:val="192F5D97"/>
    <w:rsid w:val="19551A74"/>
    <w:rsid w:val="195F7D63"/>
    <w:rsid w:val="197C2433"/>
    <w:rsid w:val="197D1062"/>
    <w:rsid w:val="19933139"/>
    <w:rsid w:val="19976C65"/>
    <w:rsid w:val="19A7610F"/>
    <w:rsid w:val="19AC4F46"/>
    <w:rsid w:val="19B81D23"/>
    <w:rsid w:val="19D57461"/>
    <w:rsid w:val="19E70437"/>
    <w:rsid w:val="19E74602"/>
    <w:rsid w:val="19EE7D0B"/>
    <w:rsid w:val="19FB6BA4"/>
    <w:rsid w:val="19FF7B89"/>
    <w:rsid w:val="1A077D86"/>
    <w:rsid w:val="1A085685"/>
    <w:rsid w:val="1A191F3E"/>
    <w:rsid w:val="1A2244B6"/>
    <w:rsid w:val="1A25452E"/>
    <w:rsid w:val="1A285C6E"/>
    <w:rsid w:val="1A3417B8"/>
    <w:rsid w:val="1A34568A"/>
    <w:rsid w:val="1A4B5CA1"/>
    <w:rsid w:val="1A5163D6"/>
    <w:rsid w:val="1A5204BD"/>
    <w:rsid w:val="1A54768F"/>
    <w:rsid w:val="1A5A669E"/>
    <w:rsid w:val="1A615557"/>
    <w:rsid w:val="1A796C32"/>
    <w:rsid w:val="1A7C7103"/>
    <w:rsid w:val="1AA35A80"/>
    <w:rsid w:val="1AAB563E"/>
    <w:rsid w:val="1AB36C5E"/>
    <w:rsid w:val="1AB9028C"/>
    <w:rsid w:val="1AC56317"/>
    <w:rsid w:val="1AD6319E"/>
    <w:rsid w:val="1AE952DE"/>
    <w:rsid w:val="1B1075FD"/>
    <w:rsid w:val="1B167885"/>
    <w:rsid w:val="1B4B651F"/>
    <w:rsid w:val="1B5D1B68"/>
    <w:rsid w:val="1B6848B0"/>
    <w:rsid w:val="1B777BC9"/>
    <w:rsid w:val="1B7D10D5"/>
    <w:rsid w:val="1B8D6B92"/>
    <w:rsid w:val="1B8F3C2A"/>
    <w:rsid w:val="1B936CD6"/>
    <w:rsid w:val="1B990279"/>
    <w:rsid w:val="1B9B4E1C"/>
    <w:rsid w:val="1B9C50E9"/>
    <w:rsid w:val="1BAA5FDD"/>
    <w:rsid w:val="1BAD4429"/>
    <w:rsid w:val="1BB80557"/>
    <w:rsid w:val="1BB9458C"/>
    <w:rsid w:val="1BBB45CD"/>
    <w:rsid w:val="1BBC1606"/>
    <w:rsid w:val="1BC564C2"/>
    <w:rsid w:val="1BCB2744"/>
    <w:rsid w:val="1BD24284"/>
    <w:rsid w:val="1BD91A80"/>
    <w:rsid w:val="1BE641ED"/>
    <w:rsid w:val="1BF14560"/>
    <w:rsid w:val="1BF24F3D"/>
    <w:rsid w:val="1C1D36F1"/>
    <w:rsid w:val="1C247D0B"/>
    <w:rsid w:val="1C291BAA"/>
    <w:rsid w:val="1C386892"/>
    <w:rsid w:val="1C4A05F8"/>
    <w:rsid w:val="1C4A2683"/>
    <w:rsid w:val="1C5D7BFA"/>
    <w:rsid w:val="1C5E6C62"/>
    <w:rsid w:val="1C5F292D"/>
    <w:rsid w:val="1C5F3B2B"/>
    <w:rsid w:val="1C631E26"/>
    <w:rsid w:val="1C6F10B8"/>
    <w:rsid w:val="1C7530BF"/>
    <w:rsid w:val="1C961365"/>
    <w:rsid w:val="1CA23F30"/>
    <w:rsid w:val="1CBC5611"/>
    <w:rsid w:val="1CD22EF6"/>
    <w:rsid w:val="1CD7177C"/>
    <w:rsid w:val="1CDE68ED"/>
    <w:rsid w:val="1CE14471"/>
    <w:rsid w:val="1CE95E52"/>
    <w:rsid w:val="1CEF02A3"/>
    <w:rsid w:val="1CF005FD"/>
    <w:rsid w:val="1CF6531E"/>
    <w:rsid w:val="1CF73467"/>
    <w:rsid w:val="1D0A5C6D"/>
    <w:rsid w:val="1D0B195E"/>
    <w:rsid w:val="1D1E3E53"/>
    <w:rsid w:val="1D22539B"/>
    <w:rsid w:val="1D244763"/>
    <w:rsid w:val="1D3570D5"/>
    <w:rsid w:val="1D3D4708"/>
    <w:rsid w:val="1D48400E"/>
    <w:rsid w:val="1D4E0EB2"/>
    <w:rsid w:val="1D5255A7"/>
    <w:rsid w:val="1D5A2F24"/>
    <w:rsid w:val="1D5C683A"/>
    <w:rsid w:val="1D693FA7"/>
    <w:rsid w:val="1D7B406F"/>
    <w:rsid w:val="1D8F4E65"/>
    <w:rsid w:val="1D977656"/>
    <w:rsid w:val="1DB553DF"/>
    <w:rsid w:val="1DBF1882"/>
    <w:rsid w:val="1DC964EA"/>
    <w:rsid w:val="1DCE009D"/>
    <w:rsid w:val="1DDB7496"/>
    <w:rsid w:val="1DE366AE"/>
    <w:rsid w:val="1DE44254"/>
    <w:rsid w:val="1DF04BC7"/>
    <w:rsid w:val="1DF17BE1"/>
    <w:rsid w:val="1E3A10AF"/>
    <w:rsid w:val="1E3A3326"/>
    <w:rsid w:val="1E4719A3"/>
    <w:rsid w:val="1E5F1F97"/>
    <w:rsid w:val="1E6C5F4E"/>
    <w:rsid w:val="1E773774"/>
    <w:rsid w:val="1E841CFD"/>
    <w:rsid w:val="1E875401"/>
    <w:rsid w:val="1EA65561"/>
    <w:rsid w:val="1EAD4127"/>
    <w:rsid w:val="1EB70BD9"/>
    <w:rsid w:val="1EB8797A"/>
    <w:rsid w:val="1ECD4FF5"/>
    <w:rsid w:val="1EEC719E"/>
    <w:rsid w:val="1EF7018A"/>
    <w:rsid w:val="1F0242AA"/>
    <w:rsid w:val="1F044236"/>
    <w:rsid w:val="1F25251D"/>
    <w:rsid w:val="1F2B5438"/>
    <w:rsid w:val="1F2F41FD"/>
    <w:rsid w:val="1F332069"/>
    <w:rsid w:val="1F390590"/>
    <w:rsid w:val="1F3E5153"/>
    <w:rsid w:val="1F424A01"/>
    <w:rsid w:val="1F484B9B"/>
    <w:rsid w:val="1F48770A"/>
    <w:rsid w:val="1F4C6748"/>
    <w:rsid w:val="1F543A73"/>
    <w:rsid w:val="1F582479"/>
    <w:rsid w:val="1F595467"/>
    <w:rsid w:val="1F5B2F4F"/>
    <w:rsid w:val="1F5C06A1"/>
    <w:rsid w:val="1FB80942"/>
    <w:rsid w:val="1FBB5482"/>
    <w:rsid w:val="2001262E"/>
    <w:rsid w:val="200D64BE"/>
    <w:rsid w:val="20153599"/>
    <w:rsid w:val="201B2789"/>
    <w:rsid w:val="201F4440"/>
    <w:rsid w:val="20256516"/>
    <w:rsid w:val="202F579D"/>
    <w:rsid w:val="204C44A6"/>
    <w:rsid w:val="20584BED"/>
    <w:rsid w:val="20D60AAE"/>
    <w:rsid w:val="20D84C43"/>
    <w:rsid w:val="20DE5B9D"/>
    <w:rsid w:val="20DF61AB"/>
    <w:rsid w:val="20F5066D"/>
    <w:rsid w:val="21061BA2"/>
    <w:rsid w:val="2121427E"/>
    <w:rsid w:val="21262CBA"/>
    <w:rsid w:val="212B1C97"/>
    <w:rsid w:val="212F35F6"/>
    <w:rsid w:val="21361FB5"/>
    <w:rsid w:val="214B3D89"/>
    <w:rsid w:val="21575426"/>
    <w:rsid w:val="215C1F77"/>
    <w:rsid w:val="217414EF"/>
    <w:rsid w:val="217554C8"/>
    <w:rsid w:val="2177769E"/>
    <w:rsid w:val="217E1DFE"/>
    <w:rsid w:val="21D25FF2"/>
    <w:rsid w:val="21E056C0"/>
    <w:rsid w:val="21F70210"/>
    <w:rsid w:val="22105252"/>
    <w:rsid w:val="22344A9E"/>
    <w:rsid w:val="223552C7"/>
    <w:rsid w:val="22363269"/>
    <w:rsid w:val="223C2DAF"/>
    <w:rsid w:val="223E2651"/>
    <w:rsid w:val="224E2864"/>
    <w:rsid w:val="224E39C0"/>
    <w:rsid w:val="226575C4"/>
    <w:rsid w:val="22682C5C"/>
    <w:rsid w:val="226D3EEA"/>
    <w:rsid w:val="226E077B"/>
    <w:rsid w:val="22923DE9"/>
    <w:rsid w:val="22973417"/>
    <w:rsid w:val="229D5794"/>
    <w:rsid w:val="22BF3D00"/>
    <w:rsid w:val="22C1459E"/>
    <w:rsid w:val="22C16F92"/>
    <w:rsid w:val="22C17DB5"/>
    <w:rsid w:val="22C629AC"/>
    <w:rsid w:val="22CB01D1"/>
    <w:rsid w:val="22DD27AA"/>
    <w:rsid w:val="22E96F92"/>
    <w:rsid w:val="22F870EC"/>
    <w:rsid w:val="23032953"/>
    <w:rsid w:val="23060CEA"/>
    <w:rsid w:val="23085EFE"/>
    <w:rsid w:val="230D3451"/>
    <w:rsid w:val="230E5678"/>
    <w:rsid w:val="231074AE"/>
    <w:rsid w:val="23257653"/>
    <w:rsid w:val="23441FFA"/>
    <w:rsid w:val="234B3276"/>
    <w:rsid w:val="23573ECC"/>
    <w:rsid w:val="23626B1C"/>
    <w:rsid w:val="236E03B0"/>
    <w:rsid w:val="23723533"/>
    <w:rsid w:val="23773623"/>
    <w:rsid w:val="2377693D"/>
    <w:rsid w:val="237D6817"/>
    <w:rsid w:val="23904EBC"/>
    <w:rsid w:val="23996B76"/>
    <w:rsid w:val="239D0541"/>
    <w:rsid w:val="239F724D"/>
    <w:rsid w:val="23A43BC8"/>
    <w:rsid w:val="23AB1721"/>
    <w:rsid w:val="23D95FBD"/>
    <w:rsid w:val="23EF0BE1"/>
    <w:rsid w:val="24002E5E"/>
    <w:rsid w:val="2401409C"/>
    <w:rsid w:val="24044127"/>
    <w:rsid w:val="24116F89"/>
    <w:rsid w:val="24175851"/>
    <w:rsid w:val="24435E0A"/>
    <w:rsid w:val="245734DF"/>
    <w:rsid w:val="245A6743"/>
    <w:rsid w:val="246658A8"/>
    <w:rsid w:val="2466751E"/>
    <w:rsid w:val="246A08B9"/>
    <w:rsid w:val="24754B15"/>
    <w:rsid w:val="247F64CC"/>
    <w:rsid w:val="248D420D"/>
    <w:rsid w:val="248F3041"/>
    <w:rsid w:val="24921B27"/>
    <w:rsid w:val="24A0121D"/>
    <w:rsid w:val="24B47257"/>
    <w:rsid w:val="24B97631"/>
    <w:rsid w:val="24BD5AA0"/>
    <w:rsid w:val="24C90419"/>
    <w:rsid w:val="24DC693F"/>
    <w:rsid w:val="24E32289"/>
    <w:rsid w:val="24ED1C1E"/>
    <w:rsid w:val="24F0284D"/>
    <w:rsid w:val="250E20E4"/>
    <w:rsid w:val="25202C91"/>
    <w:rsid w:val="25212B83"/>
    <w:rsid w:val="252331A5"/>
    <w:rsid w:val="25266F92"/>
    <w:rsid w:val="252733A0"/>
    <w:rsid w:val="252C19DC"/>
    <w:rsid w:val="253C437F"/>
    <w:rsid w:val="25425A19"/>
    <w:rsid w:val="25433441"/>
    <w:rsid w:val="25490B3E"/>
    <w:rsid w:val="255C215A"/>
    <w:rsid w:val="255C46D3"/>
    <w:rsid w:val="25614063"/>
    <w:rsid w:val="256F1A53"/>
    <w:rsid w:val="25744759"/>
    <w:rsid w:val="25776C46"/>
    <w:rsid w:val="258B2F2B"/>
    <w:rsid w:val="258B31A0"/>
    <w:rsid w:val="25935964"/>
    <w:rsid w:val="25A14E4D"/>
    <w:rsid w:val="25A17F32"/>
    <w:rsid w:val="25AB3D1C"/>
    <w:rsid w:val="25AD7BE8"/>
    <w:rsid w:val="25B21B15"/>
    <w:rsid w:val="25D90A1B"/>
    <w:rsid w:val="25E22192"/>
    <w:rsid w:val="25E70E85"/>
    <w:rsid w:val="25F332FF"/>
    <w:rsid w:val="25FE37D6"/>
    <w:rsid w:val="26242E36"/>
    <w:rsid w:val="26274BB6"/>
    <w:rsid w:val="263227F8"/>
    <w:rsid w:val="2634261F"/>
    <w:rsid w:val="26356536"/>
    <w:rsid w:val="26405E19"/>
    <w:rsid w:val="264542D6"/>
    <w:rsid w:val="26465658"/>
    <w:rsid w:val="264779F7"/>
    <w:rsid w:val="26552372"/>
    <w:rsid w:val="267A6D2E"/>
    <w:rsid w:val="268B243A"/>
    <w:rsid w:val="269221D6"/>
    <w:rsid w:val="269C627F"/>
    <w:rsid w:val="26A5686B"/>
    <w:rsid w:val="26AA20D3"/>
    <w:rsid w:val="26B43DCE"/>
    <w:rsid w:val="26C705B0"/>
    <w:rsid w:val="26DD3B73"/>
    <w:rsid w:val="26E576C7"/>
    <w:rsid w:val="26E663D1"/>
    <w:rsid w:val="26F04260"/>
    <w:rsid w:val="26F81EB4"/>
    <w:rsid w:val="26FB2F1B"/>
    <w:rsid w:val="271D63E4"/>
    <w:rsid w:val="27310B9A"/>
    <w:rsid w:val="27322F4A"/>
    <w:rsid w:val="27370766"/>
    <w:rsid w:val="273970CB"/>
    <w:rsid w:val="273E1C11"/>
    <w:rsid w:val="273F7D71"/>
    <w:rsid w:val="275265C3"/>
    <w:rsid w:val="276B112C"/>
    <w:rsid w:val="27754A5C"/>
    <w:rsid w:val="27815619"/>
    <w:rsid w:val="279E2679"/>
    <w:rsid w:val="279F554C"/>
    <w:rsid w:val="27D2258D"/>
    <w:rsid w:val="27D65541"/>
    <w:rsid w:val="27E466F0"/>
    <w:rsid w:val="27EC5FCE"/>
    <w:rsid w:val="28277E8C"/>
    <w:rsid w:val="282B0C73"/>
    <w:rsid w:val="283D2292"/>
    <w:rsid w:val="285343B6"/>
    <w:rsid w:val="285C775E"/>
    <w:rsid w:val="286651CF"/>
    <w:rsid w:val="28671C46"/>
    <w:rsid w:val="28817213"/>
    <w:rsid w:val="288B1F91"/>
    <w:rsid w:val="2897657D"/>
    <w:rsid w:val="28A7603E"/>
    <w:rsid w:val="28AB19F4"/>
    <w:rsid w:val="28B30E3A"/>
    <w:rsid w:val="28D71E0B"/>
    <w:rsid w:val="28DC39BE"/>
    <w:rsid w:val="28DD5BCB"/>
    <w:rsid w:val="28E01F8A"/>
    <w:rsid w:val="28F045AC"/>
    <w:rsid w:val="28F85417"/>
    <w:rsid w:val="290E3D0C"/>
    <w:rsid w:val="29115393"/>
    <w:rsid w:val="291D583E"/>
    <w:rsid w:val="29243D56"/>
    <w:rsid w:val="2926654F"/>
    <w:rsid w:val="293B5829"/>
    <w:rsid w:val="294E2BBE"/>
    <w:rsid w:val="29602BC4"/>
    <w:rsid w:val="29754C24"/>
    <w:rsid w:val="299760C7"/>
    <w:rsid w:val="2999350D"/>
    <w:rsid w:val="299E7E78"/>
    <w:rsid w:val="29B759BC"/>
    <w:rsid w:val="29D60A95"/>
    <w:rsid w:val="29D94FA1"/>
    <w:rsid w:val="29E31604"/>
    <w:rsid w:val="29E3388E"/>
    <w:rsid w:val="29F87E04"/>
    <w:rsid w:val="2A1A7BC7"/>
    <w:rsid w:val="2A2D73EC"/>
    <w:rsid w:val="2A2E4CEB"/>
    <w:rsid w:val="2A3B565F"/>
    <w:rsid w:val="2A3F5A89"/>
    <w:rsid w:val="2A4F3BBF"/>
    <w:rsid w:val="2A555F3D"/>
    <w:rsid w:val="2A645B0E"/>
    <w:rsid w:val="2A653259"/>
    <w:rsid w:val="2A8F4841"/>
    <w:rsid w:val="2AA369DD"/>
    <w:rsid w:val="2AAE39DE"/>
    <w:rsid w:val="2AB32B2A"/>
    <w:rsid w:val="2AC55C66"/>
    <w:rsid w:val="2AD06022"/>
    <w:rsid w:val="2AD067C9"/>
    <w:rsid w:val="2AD63975"/>
    <w:rsid w:val="2ADD1B0D"/>
    <w:rsid w:val="2AEC47FC"/>
    <w:rsid w:val="2AF1331E"/>
    <w:rsid w:val="2AF81BE3"/>
    <w:rsid w:val="2AFF23A5"/>
    <w:rsid w:val="2B024C79"/>
    <w:rsid w:val="2B0F5533"/>
    <w:rsid w:val="2B20324F"/>
    <w:rsid w:val="2B361003"/>
    <w:rsid w:val="2B3762A6"/>
    <w:rsid w:val="2B3C6641"/>
    <w:rsid w:val="2B4144E2"/>
    <w:rsid w:val="2B51786F"/>
    <w:rsid w:val="2B532272"/>
    <w:rsid w:val="2B5B0F6E"/>
    <w:rsid w:val="2B925FDF"/>
    <w:rsid w:val="2B97510E"/>
    <w:rsid w:val="2B9970F1"/>
    <w:rsid w:val="2BC43D5D"/>
    <w:rsid w:val="2BD9047F"/>
    <w:rsid w:val="2BE46810"/>
    <w:rsid w:val="2BE501C7"/>
    <w:rsid w:val="2BED2E55"/>
    <w:rsid w:val="2C0028BD"/>
    <w:rsid w:val="2C1738CF"/>
    <w:rsid w:val="2C1945D8"/>
    <w:rsid w:val="2C1B1368"/>
    <w:rsid w:val="2C6404B6"/>
    <w:rsid w:val="2C6420B7"/>
    <w:rsid w:val="2C6C7918"/>
    <w:rsid w:val="2C783906"/>
    <w:rsid w:val="2C7E3B86"/>
    <w:rsid w:val="2CB5787B"/>
    <w:rsid w:val="2CB65D9A"/>
    <w:rsid w:val="2CCA4381"/>
    <w:rsid w:val="2CD30F03"/>
    <w:rsid w:val="2CDE06BA"/>
    <w:rsid w:val="2CDF1B63"/>
    <w:rsid w:val="2CF1389A"/>
    <w:rsid w:val="2CF249BE"/>
    <w:rsid w:val="2CF92346"/>
    <w:rsid w:val="2CFC1554"/>
    <w:rsid w:val="2CFF3512"/>
    <w:rsid w:val="2D013765"/>
    <w:rsid w:val="2D070D62"/>
    <w:rsid w:val="2D0B7148"/>
    <w:rsid w:val="2D17770B"/>
    <w:rsid w:val="2D354DCA"/>
    <w:rsid w:val="2D466457"/>
    <w:rsid w:val="2D48403D"/>
    <w:rsid w:val="2D4C5FFB"/>
    <w:rsid w:val="2D5748B7"/>
    <w:rsid w:val="2D6E6943"/>
    <w:rsid w:val="2D7E4AF7"/>
    <w:rsid w:val="2D8519AC"/>
    <w:rsid w:val="2D87777E"/>
    <w:rsid w:val="2D8E349F"/>
    <w:rsid w:val="2D9469E6"/>
    <w:rsid w:val="2D9D7A77"/>
    <w:rsid w:val="2DAF78FF"/>
    <w:rsid w:val="2DD93F77"/>
    <w:rsid w:val="2DDE7A41"/>
    <w:rsid w:val="2DE116CE"/>
    <w:rsid w:val="2DEF20F0"/>
    <w:rsid w:val="2DFE0672"/>
    <w:rsid w:val="2E041306"/>
    <w:rsid w:val="2E106E4C"/>
    <w:rsid w:val="2E246D3F"/>
    <w:rsid w:val="2E36469A"/>
    <w:rsid w:val="2E3F6F4F"/>
    <w:rsid w:val="2E4C211D"/>
    <w:rsid w:val="2E4D7F49"/>
    <w:rsid w:val="2E4E05E7"/>
    <w:rsid w:val="2E4E1129"/>
    <w:rsid w:val="2E544421"/>
    <w:rsid w:val="2E5A472E"/>
    <w:rsid w:val="2E5B5EA2"/>
    <w:rsid w:val="2E621008"/>
    <w:rsid w:val="2E6446EB"/>
    <w:rsid w:val="2E681DB2"/>
    <w:rsid w:val="2E7F0E61"/>
    <w:rsid w:val="2E7F686F"/>
    <w:rsid w:val="2E870765"/>
    <w:rsid w:val="2E8D0791"/>
    <w:rsid w:val="2E9B39A1"/>
    <w:rsid w:val="2EA94687"/>
    <w:rsid w:val="2EAF6BB3"/>
    <w:rsid w:val="2EE5675B"/>
    <w:rsid w:val="2F047EE8"/>
    <w:rsid w:val="2F082414"/>
    <w:rsid w:val="2F085C75"/>
    <w:rsid w:val="2F2B12A9"/>
    <w:rsid w:val="2F4201CA"/>
    <w:rsid w:val="2F524A74"/>
    <w:rsid w:val="2F5A4B10"/>
    <w:rsid w:val="2F626907"/>
    <w:rsid w:val="2F727CE6"/>
    <w:rsid w:val="2F7505E3"/>
    <w:rsid w:val="2F956224"/>
    <w:rsid w:val="2F9A7BA6"/>
    <w:rsid w:val="2FA23A7C"/>
    <w:rsid w:val="2FA30525"/>
    <w:rsid w:val="2FB275EC"/>
    <w:rsid w:val="2FB449B9"/>
    <w:rsid w:val="2FBD105F"/>
    <w:rsid w:val="2FC73BC7"/>
    <w:rsid w:val="2FCF47FC"/>
    <w:rsid w:val="2FD128B8"/>
    <w:rsid w:val="2FD33F66"/>
    <w:rsid w:val="2FD408E0"/>
    <w:rsid w:val="2FD5001D"/>
    <w:rsid w:val="2FE311E4"/>
    <w:rsid w:val="2FF608DC"/>
    <w:rsid w:val="2FFD3FAC"/>
    <w:rsid w:val="3004586C"/>
    <w:rsid w:val="30067266"/>
    <w:rsid w:val="30160ACC"/>
    <w:rsid w:val="3045081F"/>
    <w:rsid w:val="30455AC0"/>
    <w:rsid w:val="306825DD"/>
    <w:rsid w:val="30696A3C"/>
    <w:rsid w:val="30834BF9"/>
    <w:rsid w:val="30944718"/>
    <w:rsid w:val="309A02D0"/>
    <w:rsid w:val="30B60702"/>
    <w:rsid w:val="30C01078"/>
    <w:rsid w:val="30CF0FD9"/>
    <w:rsid w:val="30F34FAE"/>
    <w:rsid w:val="310A0E65"/>
    <w:rsid w:val="3133127A"/>
    <w:rsid w:val="31353CD7"/>
    <w:rsid w:val="313E3AD9"/>
    <w:rsid w:val="313E620E"/>
    <w:rsid w:val="313E6CDE"/>
    <w:rsid w:val="316F42A9"/>
    <w:rsid w:val="31727F68"/>
    <w:rsid w:val="317662E9"/>
    <w:rsid w:val="317C63D3"/>
    <w:rsid w:val="31954796"/>
    <w:rsid w:val="31962DAE"/>
    <w:rsid w:val="319F0073"/>
    <w:rsid w:val="31B9498A"/>
    <w:rsid w:val="31C433C3"/>
    <w:rsid w:val="31E83834"/>
    <w:rsid w:val="31EE64B9"/>
    <w:rsid w:val="320342B1"/>
    <w:rsid w:val="32044DED"/>
    <w:rsid w:val="32051176"/>
    <w:rsid w:val="320C562E"/>
    <w:rsid w:val="324B22D2"/>
    <w:rsid w:val="32575E9A"/>
    <w:rsid w:val="325C3AF5"/>
    <w:rsid w:val="325C5B7B"/>
    <w:rsid w:val="326B5445"/>
    <w:rsid w:val="327A0FE8"/>
    <w:rsid w:val="329F684F"/>
    <w:rsid w:val="32B26B6D"/>
    <w:rsid w:val="32C92CF9"/>
    <w:rsid w:val="32E16709"/>
    <w:rsid w:val="32EE4440"/>
    <w:rsid w:val="32F96ACA"/>
    <w:rsid w:val="330258B3"/>
    <w:rsid w:val="33054642"/>
    <w:rsid w:val="331007BA"/>
    <w:rsid w:val="33106E3B"/>
    <w:rsid w:val="33294383"/>
    <w:rsid w:val="333E4968"/>
    <w:rsid w:val="333F4524"/>
    <w:rsid w:val="334A28B5"/>
    <w:rsid w:val="334B6519"/>
    <w:rsid w:val="334F5C93"/>
    <w:rsid w:val="335D5DB2"/>
    <w:rsid w:val="33735C77"/>
    <w:rsid w:val="337E28B4"/>
    <w:rsid w:val="33951969"/>
    <w:rsid w:val="339B5E01"/>
    <w:rsid w:val="33A31D7A"/>
    <w:rsid w:val="33D163EF"/>
    <w:rsid w:val="33D43249"/>
    <w:rsid w:val="33D45DFD"/>
    <w:rsid w:val="33DC6622"/>
    <w:rsid w:val="33DF5ABE"/>
    <w:rsid w:val="33E605A3"/>
    <w:rsid w:val="33E706E6"/>
    <w:rsid w:val="33F14703"/>
    <w:rsid w:val="33F7797D"/>
    <w:rsid w:val="33FD22BD"/>
    <w:rsid w:val="3406027F"/>
    <w:rsid w:val="342F3DB9"/>
    <w:rsid w:val="343D3142"/>
    <w:rsid w:val="345A0509"/>
    <w:rsid w:val="345B2367"/>
    <w:rsid w:val="34672008"/>
    <w:rsid w:val="348B5095"/>
    <w:rsid w:val="348D1A8C"/>
    <w:rsid w:val="349C31F7"/>
    <w:rsid w:val="34A54544"/>
    <w:rsid w:val="34AE0539"/>
    <w:rsid w:val="34AF3083"/>
    <w:rsid w:val="34B017ED"/>
    <w:rsid w:val="34C20AA1"/>
    <w:rsid w:val="34CB28F5"/>
    <w:rsid w:val="34CD5068"/>
    <w:rsid w:val="34CE2B5B"/>
    <w:rsid w:val="34D747C2"/>
    <w:rsid w:val="34E944F6"/>
    <w:rsid w:val="34E94AA0"/>
    <w:rsid w:val="34F96E62"/>
    <w:rsid w:val="35072EAD"/>
    <w:rsid w:val="350960B1"/>
    <w:rsid w:val="35150114"/>
    <w:rsid w:val="351608A7"/>
    <w:rsid w:val="35217336"/>
    <w:rsid w:val="3525563E"/>
    <w:rsid w:val="35290A77"/>
    <w:rsid w:val="352A0B4B"/>
    <w:rsid w:val="35356F10"/>
    <w:rsid w:val="354840CB"/>
    <w:rsid w:val="355C013C"/>
    <w:rsid w:val="3565420B"/>
    <w:rsid w:val="356A601B"/>
    <w:rsid w:val="3583595D"/>
    <w:rsid w:val="35841013"/>
    <w:rsid w:val="358B79C9"/>
    <w:rsid w:val="359A00B9"/>
    <w:rsid w:val="35C93DF3"/>
    <w:rsid w:val="35F853BB"/>
    <w:rsid w:val="35FB1676"/>
    <w:rsid w:val="360120A7"/>
    <w:rsid w:val="361526DE"/>
    <w:rsid w:val="36225127"/>
    <w:rsid w:val="36237E20"/>
    <w:rsid w:val="36256291"/>
    <w:rsid w:val="36286678"/>
    <w:rsid w:val="362979CB"/>
    <w:rsid w:val="363803C7"/>
    <w:rsid w:val="364E2CE9"/>
    <w:rsid w:val="36560C0B"/>
    <w:rsid w:val="365B28AF"/>
    <w:rsid w:val="36712764"/>
    <w:rsid w:val="367620D2"/>
    <w:rsid w:val="3686664E"/>
    <w:rsid w:val="3689139F"/>
    <w:rsid w:val="369608CE"/>
    <w:rsid w:val="369B2954"/>
    <w:rsid w:val="36A238B1"/>
    <w:rsid w:val="36BA0FCB"/>
    <w:rsid w:val="36C1037B"/>
    <w:rsid w:val="36C9319E"/>
    <w:rsid w:val="36D067A6"/>
    <w:rsid w:val="36F57F10"/>
    <w:rsid w:val="36FC4486"/>
    <w:rsid w:val="37070D11"/>
    <w:rsid w:val="37175525"/>
    <w:rsid w:val="371A5AC4"/>
    <w:rsid w:val="37201F64"/>
    <w:rsid w:val="373F53DD"/>
    <w:rsid w:val="375948AC"/>
    <w:rsid w:val="376B28D6"/>
    <w:rsid w:val="376C5D00"/>
    <w:rsid w:val="376D427E"/>
    <w:rsid w:val="376E276D"/>
    <w:rsid w:val="37724E83"/>
    <w:rsid w:val="37983FB2"/>
    <w:rsid w:val="379850C2"/>
    <w:rsid w:val="379D4DCD"/>
    <w:rsid w:val="37A04E93"/>
    <w:rsid w:val="37A25A9F"/>
    <w:rsid w:val="37A31CDF"/>
    <w:rsid w:val="37AB1B65"/>
    <w:rsid w:val="37B25C6C"/>
    <w:rsid w:val="37CF154C"/>
    <w:rsid w:val="37EA0A17"/>
    <w:rsid w:val="380A7603"/>
    <w:rsid w:val="380B0BB2"/>
    <w:rsid w:val="380D32F1"/>
    <w:rsid w:val="380D5D0D"/>
    <w:rsid w:val="38196915"/>
    <w:rsid w:val="382F2C1E"/>
    <w:rsid w:val="3860038E"/>
    <w:rsid w:val="38716CD9"/>
    <w:rsid w:val="38801C6C"/>
    <w:rsid w:val="38834A3E"/>
    <w:rsid w:val="38851608"/>
    <w:rsid w:val="38866017"/>
    <w:rsid w:val="38A45712"/>
    <w:rsid w:val="38A47DD9"/>
    <w:rsid w:val="38B04451"/>
    <w:rsid w:val="38CC1F91"/>
    <w:rsid w:val="38CC35B4"/>
    <w:rsid w:val="38D10166"/>
    <w:rsid w:val="38EA5FB0"/>
    <w:rsid w:val="3908401F"/>
    <w:rsid w:val="3908621E"/>
    <w:rsid w:val="39207FD2"/>
    <w:rsid w:val="3933207C"/>
    <w:rsid w:val="394668D6"/>
    <w:rsid w:val="394B37F2"/>
    <w:rsid w:val="394C5A0D"/>
    <w:rsid w:val="39530C1B"/>
    <w:rsid w:val="39532C2F"/>
    <w:rsid w:val="397458FC"/>
    <w:rsid w:val="398C2C91"/>
    <w:rsid w:val="39985F30"/>
    <w:rsid w:val="39D3500A"/>
    <w:rsid w:val="39D96419"/>
    <w:rsid w:val="39DB057E"/>
    <w:rsid w:val="39E55169"/>
    <w:rsid w:val="39E84553"/>
    <w:rsid w:val="39E86F30"/>
    <w:rsid w:val="39F4018B"/>
    <w:rsid w:val="39F72E22"/>
    <w:rsid w:val="39F847AF"/>
    <w:rsid w:val="3A094E52"/>
    <w:rsid w:val="3A144A89"/>
    <w:rsid w:val="3A174971"/>
    <w:rsid w:val="3A191236"/>
    <w:rsid w:val="3A273045"/>
    <w:rsid w:val="3A2D66B8"/>
    <w:rsid w:val="3A3E4729"/>
    <w:rsid w:val="3A5D1B84"/>
    <w:rsid w:val="3A5F45D1"/>
    <w:rsid w:val="3A675D63"/>
    <w:rsid w:val="3A935D24"/>
    <w:rsid w:val="3A9F7948"/>
    <w:rsid w:val="3AA02CE4"/>
    <w:rsid w:val="3AA628ED"/>
    <w:rsid w:val="3AAB6C4F"/>
    <w:rsid w:val="3AAC6356"/>
    <w:rsid w:val="3AB23C38"/>
    <w:rsid w:val="3ABA4B72"/>
    <w:rsid w:val="3AC76FD5"/>
    <w:rsid w:val="3ACE1617"/>
    <w:rsid w:val="3AD31906"/>
    <w:rsid w:val="3AD969F8"/>
    <w:rsid w:val="3AFD1BC4"/>
    <w:rsid w:val="3B292DA0"/>
    <w:rsid w:val="3B4C622A"/>
    <w:rsid w:val="3B5427BC"/>
    <w:rsid w:val="3B65256F"/>
    <w:rsid w:val="3B7F36AC"/>
    <w:rsid w:val="3B822235"/>
    <w:rsid w:val="3B861D2E"/>
    <w:rsid w:val="3B965B95"/>
    <w:rsid w:val="3B9B1BC5"/>
    <w:rsid w:val="3BA2309F"/>
    <w:rsid w:val="3BC25680"/>
    <w:rsid w:val="3BD653F5"/>
    <w:rsid w:val="3BE16ECF"/>
    <w:rsid w:val="3C0C1744"/>
    <w:rsid w:val="3C117898"/>
    <w:rsid w:val="3C211965"/>
    <w:rsid w:val="3C4708A1"/>
    <w:rsid w:val="3C4B0ED5"/>
    <w:rsid w:val="3C5C7DA9"/>
    <w:rsid w:val="3C7544C5"/>
    <w:rsid w:val="3C790143"/>
    <w:rsid w:val="3C8904DF"/>
    <w:rsid w:val="3CA91418"/>
    <w:rsid w:val="3CAF061D"/>
    <w:rsid w:val="3CB63CA9"/>
    <w:rsid w:val="3CBC1B56"/>
    <w:rsid w:val="3CBD75BF"/>
    <w:rsid w:val="3CC33BCC"/>
    <w:rsid w:val="3CD641A1"/>
    <w:rsid w:val="3CE2490A"/>
    <w:rsid w:val="3CEA648A"/>
    <w:rsid w:val="3D076AAE"/>
    <w:rsid w:val="3D0870AB"/>
    <w:rsid w:val="3D1502D9"/>
    <w:rsid w:val="3D1D0C51"/>
    <w:rsid w:val="3D555673"/>
    <w:rsid w:val="3D5657CC"/>
    <w:rsid w:val="3D5D2E26"/>
    <w:rsid w:val="3D627E02"/>
    <w:rsid w:val="3D6A54CD"/>
    <w:rsid w:val="3D876DDA"/>
    <w:rsid w:val="3D8E5ECA"/>
    <w:rsid w:val="3D8F0A2E"/>
    <w:rsid w:val="3D926692"/>
    <w:rsid w:val="3D947997"/>
    <w:rsid w:val="3DAA0159"/>
    <w:rsid w:val="3DB21166"/>
    <w:rsid w:val="3DB52FFB"/>
    <w:rsid w:val="3DB932B8"/>
    <w:rsid w:val="3DD86EA7"/>
    <w:rsid w:val="3DDB0FBF"/>
    <w:rsid w:val="3DDF3C84"/>
    <w:rsid w:val="3DF33233"/>
    <w:rsid w:val="3DF55B8D"/>
    <w:rsid w:val="3DF740D2"/>
    <w:rsid w:val="3DF9770F"/>
    <w:rsid w:val="3E107D22"/>
    <w:rsid w:val="3E1D4DB4"/>
    <w:rsid w:val="3E277BDA"/>
    <w:rsid w:val="3E2942BE"/>
    <w:rsid w:val="3E300439"/>
    <w:rsid w:val="3E320B89"/>
    <w:rsid w:val="3E3906BC"/>
    <w:rsid w:val="3E494ED3"/>
    <w:rsid w:val="3E5648B2"/>
    <w:rsid w:val="3E684241"/>
    <w:rsid w:val="3E75521D"/>
    <w:rsid w:val="3E83245B"/>
    <w:rsid w:val="3E8412E9"/>
    <w:rsid w:val="3E9328AF"/>
    <w:rsid w:val="3E9A4AD7"/>
    <w:rsid w:val="3E9C33E3"/>
    <w:rsid w:val="3E9C501E"/>
    <w:rsid w:val="3EBC27E6"/>
    <w:rsid w:val="3EC226D1"/>
    <w:rsid w:val="3EC70972"/>
    <w:rsid w:val="3ECF4AA3"/>
    <w:rsid w:val="3EDC10D0"/>
    <w:rsid w:val="3EE10368"/>
    <w:rsid w:val="3EF13BC7"/>
    <w:rsid w:val="3EF44FD4"/>
    <w:rsid w:val="3EF53D00"/>
    <w:rsid w:val="3F035371"/>
    <w:rsid w:val="3F0C4369"/>
    <w:rsid w:val="3F212A90"/>
    <w:rsid w:val="3F2C4235"/>
    <w:rsid w:val="3F2F35EC"/>
    <w:rsid w:val="3F2F53AA"/>
    <w:rsid w:val="3F3603B6"/>
    <w:rsid w:val="3F505DCB"/>
    <w:rsid w:val="3F5D2E4D"/>
    <w:rsid w:val="3F5F1F5C"/>
    <w:rsid w:val="3F6A5EE0"/>
    <w:rsid w:val="3F751F35"/>
    <w:rsid w:val="3F8313C0"/>
    <w:rsid w:val="3F8A14CB"/>
    <w:rsid w:val="3F933E45"/>
    <w:rsid w:val="3F9364E1"/>
    <w:rsid w:val="3F9E0865"/>
    <w:rsid w:val="3FA5009E"/>
    <w:rsid w:val="3FBB6D1B"/>
    <w:rsid w:val="3FD50D82"/>
    <w:rsid w:val="3FDB1475"/>
    <w:rsid w:val="3FDE5AD9"/>
    <w:rsid w:val="3FE56AF2"/>
    <w:rsid w:val="3FF019F4"/>
    <w:rsid w:val="40080DEE"/>
    <w:rsid w:val="401C7BD5"/>
    <w:rsid w:val="40227083"/>
    <w:rsid w:val="402417C8"/>
    <w:rsid w:val="402E6E49"/>
    <w:rsid w:val="40372073"/>
    <w:rsid w:val="403A0075"/>
    <w:rsid w:val="403B30DF"/>
    <w:rsid w:val="404F52A8"/>
    <w:rsid w:val="4053224E"/>
    <w:rsid w:val="40585F20"/>
    <w:rsid w:val="40A82619"/>
    <w:rsid w:val="40B6211F"/>
    <w:rsid w:val="40C2573C"/>
    <w:rsid w:val="40D34024"/>
    <w:rsid w:val="40D43BA0"/>
    <w:rsid w:val="40E01030"/>
    <w:rsid w:val="40E241CE"/>
    <w:rsid w:val="40E51007"/>
    <w:rsid w:val="40E75B26"/>
    <w:rsid w:val="40EA1C0C"/>
    <w:rsid w:val="40EA78D7"/>
    <w:rsid w:val="40EF076E"/>
    <w:rsid w:val="41046039"/>
    <w:rsid w:val="41055305"/>
    <w:rsid w:val="410F42EE"/>
    <w:rsid w:val="41114BBA"/>
    <w:rsid w:val="41153D55"/>
    <w:rsid w:val="412912D7"/>
    <w:rsid w:val="41366B89"/>
    <w:rsid w:val="41643D6B"/>
    <w:rsid w:val="41771599"/>
    <w:rsid w:val="41A04E11"/>
    <w:rsid w:val="41AA4418"/>
    <w:rsid w:val="41C6181D"/>
    <w:rsid w:val="41C86EE6"/>
    <w:rsid w:val="41C952EA"/>
    <w:rsid w:val="41DB0F0D"/>
    <w:rsid w:val="41DF32B5"/>
    <w:rsid w:val="420558C2"/>
    <w:rsid w:val="42057B28"/>
    <w:rsid w:val="421052B2"/>
    <w:rsid w:val="42190CC2"/>
    <w:rsid w:val="422E3E2B"/>
    <w:rsid w:val="422F36E3"/>
    <w:rsid w:val="42307D25"/>
    <w:rsid w:val="42407C97"/>
    <w:rsid w:val="42491125"/>
    <w:rsid w:val="425C634D"/>
    <w:rsid w:val="42680DCC"/>
    <w:rsid w:val="427A44C2"/>
    <w:rsid w:val="42880654"/>
    <w:rsid w:val="428A5B21"/>
    <w:rsid w:val="428D14EF"/>
    <w:rsid w:val="4296187E"/>
    <w:rsid w:val="42A65AF0"/>
    <w:rsid w:val="42AD56C6"/>
    <w:rsid w:val="42FF71DC"/>
    <w:rsid w:val="42FF7548"/>
    <w:rsid w:val="43006D78"/>
    <w:rsid w:val="43217EC6"/>
    <w:rsid w:val="432B1FC3"/>
    <w:rsid w:val="434D155D"/>
    <w:rsid w:val="43594292"/>
    <w:rsid w:val="435E53D9"/>
    <w:rsid w:val="437A0D2C"/>
    <w:rsid w:val="438607EE"/>
    <w:rsid w:val="43911F91"/>
    <w:rsid w:val="4394491A"/>
    <w:rsid w:val="43997A97"/>
    <w:rsid w:val="439B27FA"/>
    <w:rsid w:val="43BD5DE5"/>
    <w:rsid w:val="43C17B79"/>
    <w:rsid w:val="43CA6D64"/>
    <w:rsid w:val="43D65E39"/>
    <w:rsid w:val="43D6606E"/>
    <w:rsid w:val="43FE3B45"/>
    <w:rsid w:val="441111D7"/>
    <w:rsid w:val="44243658"/>
    <w:rsid w:val="444C64B0"/>
    <w:rsid w:val="444D54BA"/>
    <w:rsid w:val="446E2A13"/>
    <w:rsid w:val="446E6C1A"/>
    <w:rsid w:val="44742FDB"/>
    <w:rsid w:val="448B2102"/>
    <w:rsid w:val="449D508C"/>
    <w:rsid w:val="44B15AF7"/>
    <w:rsid w:val="44B36E39"/>
    <w:rsid w:val="44C35AE0"/>
    <w:rsid w:val="44EC7013"/>
    <w:rsid w:val="44EF65A4"/>
    <w:rsid w:val="44F02519"/>
    <w:rsid w:val="44F41E19"/>
    <w:rsid w:val="44FB3AE3"/>
    <w:rsid w:val="44FF3C64"/>
    <w:rsid w:val="45061393"/>
    <w:rsid w:val="452454F2"/>
    <w:rsid w:val="4530392C"/>
    <w:rsid w:val="45427AA4"/>
    <w:rsid w:val="45465B65"/>
    <w:rsid w:val="454A33D5"/>
    <w:rsid w:val="45515DC5"/>
    <w:rsid w:val="4552496F"/>
    <w:rsid w:val="455454A2"/>
    <w:rsid w:val="45564CA5"/>
    <w:rsid w:val="455B6233"/>
    <w:rsid w:val="45620AE1"/>
    <w:rsid w:val="456A6A48"/>
    <w:rsid w:val="457C3D14"/>
    <w:rsid w:val="45803914"/>
    <w:rsid w:val="45812191"/>
    <w:rsid w:val="45865E2C"/>
    <w:rsid w:val="45911A43"/>
    <w:rsid w:val="45A16423"/>
    <w:rsid w:val="45A24E61"/>
    <w:rsid w:val="45B457B5"/>
    <w:rsid w:val="45DE2657"/>
    <w:rsid w:val="45F10750"/>
    <w:rsid w:val="45F10EC5"/>
    <w:rsid w:val="45F91D99"/>
    <w:rsid w:val="46084CE9"/>
    <w:rsid w:val="460F4303"/>
    <w:rsid w:val="4616768B"/>
    <w:rsid w:val="462E7E70"/>
    <w:rsid w:val="463144E8"/>
    <w:rsid w:val="463446BC"/>
    <w:rsid w:val="46352BE8"/>
    <w:rsid w:val="46414DD4"/>
    <w:rsid w:val="46523D01"/>
    <w:rsid w:val="466317E7"/>
    <w:rsid w:val="466E3CCD"/>
    <w:rsid w:val="4676381B"/>
    <w:rsid w:val="46770DC9"/>
    <w:rsid w:val="467744FD"/>
    <w:rsid w:val="46952BDB"/>
    <w:rsid w:val="46A746F1"/>
    <w:rsid w:val="46A9603F"/>
    <w:rsid w:val="46AF30F0"/>
    <w:rsid w:val="46B87DA9"/>
    <w:rsid w:val="46CD4878"/>
    <w:rsid w:val="46D046FE"/>
    <w:rsid w:val="46D06D98"/>
    <w:rsid w:val="46DA4E4A"/>
    <w:rsid w:val="46E12276"/>
    <w:rsid w:val="46E46B2F"/>
    <w:rsid w:val="46F03580"/>
    <w:rsid w:val="46F51A7F"/>
    <w:rsid w:val="46F847CE"/>
    <w:rsid w:val="47140188"/>
    <w:rsid w:val="4714637D"/>
    <w:rsid w:val="471901B2"/>
    <w:rsid w:val="47280D0D"/>
    <w:rsid w:val="47406C6A"/>
    <w:rsid w:val="476B7898"/>
    <w:rsid w:val="47700B34"/>
    <w:rsid w:val="477A6B40"/>
    <w:rsid w:val="477C1D4C"/>
    <w:rsid w:val="47B32E9C"/>
    <w:rsid w:val="47EE1DDF"/>
    <w:rsid w:val="47F3266D"/>
    <w:rsid w:val="480B19F6"/>
    <w:rsid w:val="48212AE9"/>
    <w:rsid w:val="485E0907"/>
    <w:rsid w:val="486C4CE7"/>
    <w:rsid w:val="487B0789"/>
    <w:rsid w:val="48894E4D"/>
    <w:rsid w:val="489713C3"/>
    <w:rsid w:val="48A262B1"/>
    <w:rsid w:val="48A61EC2"/>
    <w:rsid w:val="48BA3284"/>
    <w:rsid w:val="48BC6665"/>
    <w:rsid w:val="48CB1CC0"/>
    <w:rsid w:val="48D4307F"/>
    <w:rsid w:val="49013C23"/>
    <w:rsid w:val="49046A59"/>
    <w:rsid w:val="490A52ED"/>
    <w:rsid w:val="49120F3F"/>
    <w:rsid w:val="49163580"/>
    <w:rsid w:val="491E6E1E"/>
    <w:rsid w:val="491F7F64"/>
    <w:rsid w:val="492A1BD4"/>
    <w:rsid w:val="49470956"/>
    <w:rsid w:val="494D3EF0"/>
    <w:rsid w:val="494F7DA4"/>
    <w:rsid w:val="49582843"/>
    <w:rsid w:val="495D296B"/>
    <w:rsid w:val="49733467"/>
    <w:rsid w:val="49804B05"/>
    <w:rsid w:val="49955841"/>
    <w:rsid w:val="49A418F2"/>
    <w:rsid w:val="49C8100A"/>
    <w:rsid w:val="49F215F7"/>
    <w:rsid w:val="49F46361"/>
    <w:rsid w:val="49FF2037"/>
    <w:rsid w:val="4A030B7A"/>
    <w:rsid w:val="4A0A7F62"/>
    <w:rsid w:val="4A1D00AC"/>
    <w:rsid w:val="4A236EB1"/>
    <w:rsid w:val="4A267E35"/>
    <w:rsid w:val="4A270A04"/>
    <w:rsid w:val="4A382D24"/>
    <w:rsid w:val="4A414188"/>
    <w:rsid w:val="4A47591B"/>
    <w:rsid w:val="4A4C4C82"/>
    <w:rsid w:val="4A4E3578"/>
    <w:rsid w:val="4A6A1823"/>
    <w:rsid w:val="4A6F608D"/>
    <w:rsid w:val="4A885CE1"/>
    <w:rsid w:val="4A9452E5"/>
    <w:rsid w:val="4A984C0D"/>
    <w:rsid w:val="4A9F2D3A"/>
    <w:rsid w:val="4AA00600"/>
    <w:rsid w:val="4ABE4F66"/>
    <w:rsid w:val="4ABF0894"/>
    <w:rsid w:val="4ADB4E28"/>
    <w:rsid w:val="4AEF6A2D"/>
    <w:rsid w:val="4AF16114"/>
    <w:rsid w:val="4AF75899"/>
    <w:rsid w:val="4AF76666"/>
    <w:rsid w:val="4B170E1E"/>
    <w:rsid w:val="4B1A46C6"/>
    <w:rsid w:val="4B1A687B"/>
    <w:rsid w:val="4B2517BD"/>
    <w:rsid w:val="4B2C12BC"/>
    <w:rsid w:val="4B333D7A"/>
    <w:rsid w:val="4B3422A0"/>
    <w:rsid w:val="4B4D3A8C"/>
    <w:rsid w:val="4B5523AC"/>
    <w:rsid w:val="4B5D5A49"/>
    <w:rsid w:val="4B766FBE"/>
    <w:rsid w:val="4B7F49FA"/>
    <w:rsid w:val="4B85737C"/>
    <w:rsid w:val="4B8D0681"/>
    <w:rsid w:val="4BB31E0A"/>
    <w:rsid w:val="4BC74E08"/>
    <w:rsid w:val="4BD07997"/>
    <w:rsid w:val="4BD101CA"/>
    <w:rsid w:val="4BDF3E16"/>
    <w:rsid w:val="4BE971AF"/>
    <w:rsid w:val="4BFB1C38"/>
    <w:rsid w:val="4BFE1C3A"/>
    <w:rsid w:val="4C1003D8"/>
    <w:rsid w:val="4C251AA6"/>
    <w:rsid w:val="4C315F18"/>
    <w:rsid w:val="4C352DA8"/>
    <w:rsid w:val="4C366477"/>
    <w:rsid w:val="4C4113CF"/>
    <w:rsid w:val="4C6B6EBB"/>
    <w:rsid w:val="4C6F66E5"/>
    <w:rsid w:val="4C786851"/>
    <w:rsid w:val="4C7E2F03"/>
    <w:rsid w:val="4C812213"/>
    <w:rsid w:val="4C8A729F"/>
    <w:rsid w:val="4C8E73B9"/>
    <w:rsid w:val="4C942881"/>
    <w:rsid w:val="4C98016E"/>
    <w:rsid w:val="4CAF266F"/>
    <w:rsid w:val="4CC13ECD"/>
    <w:rsid w:val="4CCE3DBA"/>
    <w:rsid w:val="4CD020F9"/>
    <w:rsid w:val="4CD1365E"/>
    <w:rsid w:val="4CE50D46"/>
    <w:rsid w:val="4CEB05BD"/>
    <w:rsid w:val="4CFC6D55"/>
    <w:rsid w:val="4D0550A8"/>
    <w:rsid w:val="4D09197C"/>
    <w:rsid w:val="4D0B17EF"/>
    <w:rsid w:val="4D0E4802"/>
    <w:rsid w:val="4D2F7723"/>
    <w:rsid w:val="4D3267B3"/>
    <w:rsid w:val="4D406BD1"/>
    <w:rsid w:val="4D4B585B"/>
    <w:rsid w:val="4D5047B5"/>
    <w:rsid w:val="4D605A45"/>
    <w:rsid w:val="4D73501E"/>
    <w:rsid w:val="4D76573F"/>
    <w:rsid w:val="4D811DB6"/>
    <w:rsid w:val="4D831E51"/>
    <w:rsid w:val="4D9B4759"/>
    <w:rsid w:val="4DA44E4F"/>
    <w:rsid w:val="4DB3573A"/>
    <w:rsid w:val="4DBC31EA"/>
    <w:rsid w:val="4DCE74AD"/>
    <w:rsid w:val="4DD8077E"/>
    <w:rsid w:val="4DF521AC"/>
    <w:rsid w:val="4E0A2800"/>
    <w:rsid w:val="4E0D58C8"/>
    <w:rsid w:val="4E145C74"/>
    <w:rsid w:val="4E1B7929"/>
    <w:rsid w:val="4E4839BC"/>
    <w:rsid w:val="4E4F1509"/>
    <w:rsid w:val="4E5079C5"/>
    <w:rsid w:val="4E5C64FB"/>
    <w:rsid w:val="4E623BD3"/>
    <w:rsid w:val="4E713592"/>
    <w:rsid w:val="4E7906E7"/>
    <w:rsid w:val="4E7A5C74"/>
    <w:rsid w:val="4E837C45"/>
    <w:rsid w:val="4E926F9F"/>
    <w:rsid w:val="4E993495"/>
    <w:rsid w:val="4EA30D9D"/>
    <w:rsid w:val="4EA31AE4"/>
    <w:rsid w:val="4EA76E89"/>
    <w:rsid w:val="4EAF2828"/>
    <w:rsid w:val="4EB2058C"/>
    <w:rsid w:val="4EB60C48"/>
    <w:rsid w:val="4EDE147E"/>
    <w:rsid w:val="4EEA3967"/>
    <w:rsid w:val="4EEF1B44"/>
    <w:rsid w:val="4F094887"/>
    <w:rsid w:val="4F0A27C3"/>
    <w:rsid w:val="4F0F005F"/>
    <w:rsid w:val="4F165D52"/>
    <w:rsid w:val="4F1D369F"/>
    <w:rsid w:val="4F1E3C2F"/>
    <w:rsid w:val="4F213A90"/>
    <w:rsid w:val="4F290247"/>
    <w:rsid w:val="4F323CD2"/>
    <w:rsid w:val="4F332C0A"/>
    <w:rsid w:val="4F3B2459"/>
    <w:rsid w:val="4F3B460A"/>
    <w:rsid w:val="4F433DC8"/>
    <w:rsid w:val="4F4628B7"/>
    <w:rsid w:val="4F4B51A5"/>
    <w:rsid w:val="4F4E6EC7"/>
    <w:rsid w:val="4F545D86"/>
    <w:rsid w:val="4F5D5E43"/>
    <w:rsid w:val="4F843B05"/>
    <w:rsid w:val="4F940769"/>
    <w:rsid w:val="4FA14EEC"/>
    <w:rsid w:val="4FA84227"/>
    <w:rsid w:val="4FAD2047"/>
    <w:rsid w:val="4FC231DA"/>
    <w:rsid w:val="4FD9320F"/>
    <w:rsid w:val="4FDD1D8F"/>
    <w:rsid w:val="4FE223EE"/>
    <w:rsid w:val="4FE3097A"/>
    <w:rsid w:val="4FFD3A77"/>
    <w:rsid w:val="50091D29"/>
    <w:rsid w:val="501F59A7"/>
    <w:rsid w:val="503642D7"/>
    <w:rsid w:val="503D3F59"/>
    <w:rsid w:val="50650862"/>
    <w:rsid w:val="50681179"/>
    <w:rsid w:val="5095674A"/>
    <w:rsid w:val="50A01EE7"/>
    <w:rsid w:val="50A6221C"/>
    <w:rsid w:val="50AC4C20"/>
    <w:rsid w:val="50AE00AE"/>
    <w:rsid w:val="50B13272"/>
    <w:rsid w:val="50B61B8B"/>
    <w:rsid w:val="50C13C5F"/>
    <w:rsid w:val="50C16C1C"/>
    <w:rsid w:val="50C577D9"/>
    <w:rsid w:val="50E00158"/>
    <w:rsid w:val="50E8434B"/>
    <w:rsid w:val="50F0291C"/>
    <w:rsid w:val="50F5073D"/>
    <w:rsid w:val="50F83FA2"/>
    <w:rsid w:val="5100536A"/>
    <w:rsid w:val="51166C53"/>
    <w:rsid w:val="51183F80"/>
    <w:rsid w:val="51286AE9"/>
    <w:rsid w:val="51334745"/>
    <w:rsid w:val="51355ACC"/>
    <w:rsid w:val="516C5BB7"/>
    <w:rsid w:val="517C1235"/>
    <w:rsid w:val="51881606"/>
    <w:rsid w:val="518B6393"/>
    <w:rsid w:val="518E2820"/>
    <w:rsid w:val="519C6C10"/>
    <w:rsid w:val="51AC5137"/>
    <w:rsid w:val="51B463DB"/>
    <w:rsid w:val="51B93C78"/>
    <w:rsid w:val="51BA3724"/>
    <w:rsid w:val="51C31254"/>
    <w:rsid w:val="51C979DD"/>
    <w:rsid w:val="51CA5F3D"/>
    <w:rsid w:val="51D65A91"/>
    <w:rsid w:val="51E20465"/>
    <w:rsid w:val="520A22AE"/>
    <w:rsid w:val="52247A0F"/>
    <w:rsid w:val="52307478"/>
    <w:rsid w:val="52385792"/>
    <w:rsid w:val="523D42DD"/>
    <w:rsid w:val="523F6AFF"/>
    <w:rsid w:val="52480D46"/>
    <w:rsid w:val="524F31BF"/>
    <w:rsid w:val="52514A0D"/>
    <w:rsid w:val="5273265C"/>
    <w:rsid w:val="52853336"/>
    <w:rsid w:val="52881D50"/>
    <w:rsid w:val="528D7640"/>
    <w:rsid w:val="52991222"/>
    <w:rsid w:val="529B3EC4"/>
    <w:rsid w:val="529C7876"/>
    <w:rsid w:val="52C1084B"/>
    <w:rsid w:val="52CA2C42"/>
    <w:rsid w:val="52DB19FD"/>
    <w:rsid w:val="52E53EC9"/>
    <w:rsid w:val="52EE339D"/>
    <w:rsid w:val="52F61E27"/>
    <w:rsid w:val="52F64812"/>
    <w:rsid w:val="5306292A"/>
    <w:rsid w:val="530822C8"/>
    <w:rsid w:val="532B3A0E"/>
    <w:rsid w:val="533E1E81"/>
    <w:rsid w:val="535F3AF3"/>
    <w:rsid w:val="536F1AF1"/>
    <w:rsid w:val="536F3F83"/>
    <w:rsid w:val="53703E8D"/>
    <w:rsid w:val="53707DDE"/>
    <w:rsid w:val="537334C7"/>
    <w:rsid w:val="537810B7"/>
    <w:rsid w:val="537E0058"/>
    <w:rsid w:val="53950AA6"/>
    <w:rsid w:val="53A8102E"/>
    <w:rsid w:val="53C502CE"/>
    <w:rsid w:val="53D02F55"/>
    <w:rsid w:val="53E12D9E"/>
    <w:rsid w:val="53E64B1C"/>
    <w:rsid w:val="53E8652B"/>
    <w:rsid w:val="53EB486A"/>
    <w:rsid w:val="53EE67E9"/>
    <w:rsid w:val="53FD1C03"/>
    <w:rsid w:val="54020BC2"/>
    <w:rsid w:val="540310FA"/>
    <w:rsid w:val="54037045"/>
    <w:rsid w:val="540817F6"/>
    <w:rsid w:val="54270E2A"/>
    <w:rsid w:val="54270F5B"/>
    <w:rsid w:val="54382594"/>
    <w:rsid w:val="543E515D"/>
    <w:rsid w:val="543F413B"/>
    <w:rsid w:val="543F6DB4"/>
    <w:rsid w:val="544561BC"/>
    <w:rsid w:val="544B0D54"/>
    <w:rsid w:val="545568EB"/>
    <w:rsid w:val="54591CDE"/>
    <w:rsid w:val="54625354"/>
    <w:rsid w:val="546D6CCA"/>
    <w:rsid w:val="54984A43"/>
    <w:rsid w:val="54B55CE3"/>
    <w:rsid w:val="54B9208D"/>
    <w:rsid w:val="54BA614C"/>
    <w:rsid w:val="54C557E7"/>
    <w:rsid w:val="54C65EC0"/>
    <w:rsid w:val="54D006DC"/>
    <w:rsid w:val="54D43100"/>
    <w:rsid w:val="55053315"/>
    <w:rsid w:val="55067A64"/>
    <w:rsid w:val="552760F6"/>
    <w:rsid w:val="552A09F4"/>
    <w:rsid w:val="552C4622"/>
    <w:rsid w:val="5532296D"/>
    <w:rsid w:val="553D5564"/>
    <w:rsid w:val="555154EE"/>
    <w:rsid w:val="5560481F"/>
    <w:rsid w:val="557414CA"/>
    <w:rsid w:val="558F4A1E"/>
    <w:rsid w:val="55917E28"/>
    <w:rsid w:val="55942252"/>
    <w:rsid w:val="55987FBD"/>
    <w:rsid w:val="55AC7BE9"/>
    <w:rsid w:val="55B41C64"/>
    <w:rsid w:val="55CB0EA2"/>
    <w:rsid w:val="55EC2897"/>
    <w:rsid w:val="55F157AA"/>
    <w:rsid w:val="55FA0B35"/>
    <w:rsid w:val="55FA242D"/>
    <w:rsid w:val="56254C95"/>
    <w:rsid w:val="56290B5D"/>
    <w:rsid w:val="5630640C"/>
    <w:rsid w:val="56363D57"/>
    <w:rsid w:val="56490020"/>
    <w:rsid w:val="5652511E"/>
    <w:rsid w:val="56543A0D"/>
    <w:rsid w:val="565C0156"/>
    <w:rsid w:val="566B50BC"/>
    <w:rsid w:val="566E08BF"/>
    <w:rsid w:val="569E1AC8"/>
    <w:rsid w:val="56A4132F"/>
    <w:rsid w:val="56AC279F"/>
    <w:rsid w:val="56AF2E6F"/>
    <w:rsid w:val="56D94DD2"/>
    <w:rsid w:val="56DF0963"/>
    <w:rsid w:val="56E2575C"/>
    <w:rsid w:val="56E31118"/>
    <w:rsid w:val="56E46A8E"/>
    <w:rsid w:val="56F37D3E"/>
    <w:rsid w:val="56F473C0"/>
    <w:rsid w:val="56FD3D8C"/>
    <w:rsid w:val="57065F83"/>
    <w:rsid w:val="57097BE4"/>
    <w:rsid w:val="570B6550"/>
    <w:rsid w:val="57196157"/>
    <w:rsid w:val="573D632F"/>
    <w:rsid w:val="5741590E"/>
    <w:rsid w:val="57484C26"/>
    <w:rsid w:val="5758628A"/>
    <w:rsid w:val="57685DFD"/>
    <w:rsid w:val="57745BB6"/>
    <w:rsid w:val="57855787"/>
    <w:rsid w:val="578A1BF3"/>
    <w:rsid w:val="5791383A"/>
    <w:rsid w:val="57B02739"/>
    <w:rsid w:val="57BD6C04"/>
    <w:rsid w:val="57C51573"/>
    <w:rsid w:val="57D6036B"/>
    <w:rsid w:val="57D6484A"/>
    <w:rsid w:val="57DE28CC"/>
    <w:rsid w:val="57E5708B"/>
    <w:rsid w:val="57FF606E"/>
    <w:rsid w:val="580716CC"/>
    <w:rsid w:val="58220A26"/>
    <w:rsid w:val="58381DBD"/>
    <w:rsid w:val="58394C38"/>
    <w:rsid w:val="58423CCA"/>
    <w:rsid w:val="58446DBA"/>
    <w:rsid w:val="58481CE4"/>
    <w:rsid w:val="584B7C06"/>
    <w:rsid w:val="58510290"/>
    <w:rsid w:val="58535DB5"/>
    <w:rsid w:val="58553705"/>
    <w:rsid w:val="5855370B"/>
    <w:rsid w:val="58590F71"/>
    <w:rsid w:val="587651AC"/>
    <w:rsid w:val="587939C8"/>
    <w:rsid w:val="58931910"/>
    <w:rsid w:val="58932063"/>
    <w:rsid w:val="58B31DD9"/>
    <w:rsid w:val="58B91125"/>
    <w:rsid w:val="58C07443"/>
    <w:rsid w:val="58C64CF3"/>
    <w:rsid w:val="58CB283B"/>
    <w:rsid w:val="58CB3B78"/>
    <w:rsid w:val="58D16799"/>
    <w:rsid w:val="58D21B64"/>
    <w:rsid w:val="58E36F3B"/>
    <w:rsid w:val="59096497"/>
    <w:rsid w:val="590D2328"/>
    <w:rsid w:val="590F51DD"/>
    <w:rsid w:val="59232C0B"/>
    <w:rsid w:val="59251BA8"/>
    <w:rsid w:val="593A62F9"/>
    <w:rsid w:val="593E34F6"/>
    <w:rsid w:val="593E4EE7"/>
    <w:rsid w:val="594D06B7"/>
    <w:rsid w:val="595258C3"/>
    <w:rsid w:val="59754648"/>
    <w:rsid w:val="598D03EC"/>
    <w:rsid w:val="598D7696"/>
    <w:rsid w:val="599C0038"/>
    <w:rsid w:val="59A874AD"/>
    <w:rsid w:val="59AD1771"/>
    <w:rsid w:val="59C43D4D"/>
    <w:rsid w:val="59C83A39"/>
    <w:rsid w:val="59CD0FC2"/>
    <w:rsid w:val="59D746D7"/>
    <w:rsid w:val="59F22456"/>
    <w:rsid w:val="59F40C9E"/>
    <w:rsid w:val="59FB18DA"/>
    <w:rsid w:val="5A220958"/>
    <w:rsid w:val="5A245D72"/>
    <w:rsid w:val="5A261DCD"/>
    <w:rsid w:val="5A315F05"/>
    <w:rsid w:val="5A344989"/>
    <w:rsid w:val="5A361544"/>
    <w:rsid w:val="5A3F108A"/>
    <w:rsid w:val="5A425322"/>
    <w:rsid w:val="5A596770"/>
    <w:rsid w:val="5A5B363C"/>
    <w:rsid w:val="5A66425D"/>
    <w:rsid w:val="5A6D76C0"/>
    <w:rsid w:val="5A723A0D"/>
    <w:rsid w:val="5A762255"/>
    <w:rsid w:val="5A833B0D"/>
    <w:rsid w:val="5A9A7C44"/>
    <w:rsid w:val="5A9D621A"/>
    <w:rsid w:val="5AB17106"/>
    <w:rsid w:val="5AC219D6"/>
    <w:rsid w:val="5AC91049"/>
    <w:rsid w:val="5ACF40CD"/>
    <w:rsid w:val="5AD25E29"/>
    <w:rsid w:val="5ADB273E"/>
    <w:rsid w:val="5AE14981"/>
    <w:rsid w:val="5AFD3B96"/>
    <w:rsid w:val="5B097B76"/>
    <w:rsid w:val="5B0C640C"/>
    <w:rsid w:val="5B2D305D"/>
    <w:rsid w:val="5B344015"/>
    <w:rsid w:val="5B350A21"/>
    <w:rsid w:val="5B3F3F40"/>
    <w:rsid w:val="5B443E9C"/>
    <w:rsid w:val="5B620B4F"/>
    <w:rsid w:val="5B637846"/>
    <w:rsid w:val="5B637AE8"/>
    <w:rsid w:val="5B707739"/>
    <w:rsid w:val="5B74479A"/>
    <w:rsid w:val="5B7C7628"/>
    <w:rsid w:val="5B7E0ACC"/>
    <w:rsid w:val="5B956906"/>
    <w:rsid w:val="5BA0525E"/>
    <w:rsid w:val="5BB55204"/>
    <w:rsid w:val="5BB62C85"/>
    <w:rsid w:val="5BCD5911"/>
    <w:rsid w:val="5BCE4EA4"/>
    <w:rsid w:val="5BD209C4"/>
    <w:rsid w:val="5BD637EC"/>
    <w:rsid w:val="5BDE0F42"/>
    <w:rsid w:val="5BDE5A43"/>
    <w:rsid w:val="5BE0323A"/>
    <w:rsid w:val="5BE52C87"/>
    <w:rsid w:val="5BFB1413"/>
    <w:rsid w:val="5C1B7F5F"/>
    <w:rsid w:val="5C34166A"/>
    <w:rsid w:val="5C4A36B7"/>
    <w:rsid w:val="5C4E44D4"/>
    <w:rsid w:val="5C5552A6"/>
    <w:rsid w:val="5C570EE3"/>
    <w:rsid w:val="5C796560"/>
    <w:rsid w:val="5C7B79F9"/>
    <w:rsid w:val="5C975F8A"/>
    <w:rsid w:val="5CD51EB4"/>
    <w:rsid w:val="5CD7479C"/>
    <w:rsid w:val="5CE536CF"/>
    <w:rsid w:val="5CE568F8"/>
    <w:rsid w:val="5CE80A78"/>
    <w:rsid w:val="5CF2493D"/>
    <w:rsid w:val="5CF33064"/>
    <w:rsid w:val="5D0576C4"/>
    <w:rsid w:val="5D21139B"/>
    <w:rsid w:val="5D230368"/>
    <w:rsid w:val="5D255730"/>
    <w:rsid w:val="5D3A0883"/>
    <w:rsid w:val="5D4E1BA7"/>
    <w:rsid w:val="5D5667E0"/>
    <w:rsid w:val="5D580881"/>
    <w:rsid w:val="5D6261CB"/>
    <w:rsid w:val="5D712F5B"/>
    <w:rsid w:val="5D8D0925"/>
    <w:rsid w:val="5DA13534"/>
    <w:rsid w:val="5DA80011"/>
    <w:rsid w:val="5DCB56EC"/>
    <w:rsid w:val="5DCC2370"/>
    <w:rsid w:val="5DCF0D76"/>
    <w:rsid w:val="5DD4601C"/>
    <w:rsid w:val="5DD71A06"/>
    <w:rsid w:val="5DE448D2"/>
    <w:rsid w:val="5DF441FF"/>
    <w:rsid w:val="5E1463C6"/>
    <w:rsid w:val="5E2511CA"/>
    <w:rsid w:val="5E285722"/>
    <w:rsid w:val="5E3B4D31"/>
    <w:rsid w:val="5E3E65D1"/>
    <w:rsid w:val="5E4B7A1D"/>
    <w:rsid w:val="5E50050F"/>
    <w:rsid w:val="5E5D04EF"/>
    <w:rsid w:val="5E677FF0"/>
    <w:rsid w:val="5E68591D"/>
    <w:rsid w:val="5E6E3128"/>
    <w:rsid w:val="5E731D18"/>
    <w:rsid w:val="5E742249"/>
    <w:rsid w:val="5E9268B6"/>
    <w:rsid w:val="5E9E597C"/>
    <w:rsid w:val="5EA25DA7"/>
    <w:rsid w:val="5EA97C8F"/>
    <w:rsid w:val="5EAC7CB5"/>
    <w:rsid w:val="5EDA252D"/>
    <w:rsid w:val="5EDF04E2"/>
    <w:rsid w:val="5EE4090C"/>
    <w:rsid w:val="5EE437F5"/>
    <w:rsid w:val="5EF0645B"/>
    <w:rsid w:val="5F05700F"/>
    <w:rsid w:val="5F0936DE"/>
    <w:rsid w:val="5F171517"/>
    <w:rsid w:val="5F1A4848"/>
    <w:rsid w:val="5F2E2A8A"/>
    <w:rsid w:val="5F3C79F2"/>
    <w:rsid w:val="5F414056"/>
    <w:rsid w:val="5F454229"/>
    <w:rsid w:val="5F5168E0"/>
    <w:rsid w:val="5F62295E"/>
    <w:rsid w:val="5F790CE9"/>
    <w:rsid w:val="5F7D16C2"/>
    <w:rsid w:val="5F892553"/>
    <w:rsid w:val="5F9D7E5B"/>
    <w:rsid w:val="5FA04A6A"/>
    <w:rsid w:val="5FAB77AE"/>
    <w:rsid w:val="5FB301BB"/>
    <w:rsid w:val="5FBF00D5"/>
    <w:rsid w:val="5FF32A3B"/>
    <w:rsid w:val="5FF65989"/>
    <w:rsid w:val="600A6271"/>
    <w:rsid w:val="602E29D0"/>
    <w:rsid w:val="60357E4D"/>
    <w:rsid w:val="603E0401"/>
    <w:rsid w:val="603E7BF6"/>
    <w:rsid w:val="6046706E"/>
    <w:rsid w:val="60492B3E"/>
    <w:rsid w:val="60565E64"/>
    <w:rsid w:val="60647840"/>
    <w:rsid w:val="6089047C"/>
    <w:rsid w:val="608C0E83"/>
    <w:rsid w:val="608D4CE3"/>
    <w:rsid w:val="60A859A2"/>
    <w:rsid w:val="60AB29AA"/>
    <w:rsid w:val="60AC024B"/>
    <w:rsid w:val="60AC67BD"/>
    <w:rsid w:val="60B146B2"/>
    <w:rsid w:val="60C06489"/>
    <w:rsid w:val="60CE2A0E"/>
    <w:rsid w:val="60DC7456"/>
    <w:rsid w:val="61032E37"/>
    <w:rsid w:val="610E4A4B"/>
    <w:rsid w:val="611B2150"/>
    <w:rsid w:val="61204933"/>
    <w:rsid w:val="612354B4"/>
    <w:rsid w:val="6131159B"/>
    <w:rsid w:val="61351A56"/>
    <w:rsid w:val="613F62A8"/>
    <w:rsid w:val="61415F87"/>
    <w:rsid w:val="614822A7"/>
    <w:rsid w:val="614963EE"/>
    <w:rsid w:val="614A2FC6"/>
    <w:rsid w:val="614E6C03"/>
    <w:rsid w:val="615A223E"/>
    <w:rsid w:val="615B47A6"/>
    <w:rsid w:val="616435A6"/>
    <w:rsid w:val="618D5576"/>
    <w:rsid w:val="619940E6"/>
    <w:rsid w:val="619E19B9"/>
    <w:rsid w:val="61A6014E"/>
    <w:rsid w:val="61AF035B"/>
    <w:rsid w:val="61B17BD0"/>
    <w:rsid w:val="61D63921"/>
    <w:rsid w:val="61DB724C"/>
    <w:rsid w:val="61E643A1"/>
    <w:rsid w:val="61E66CAD"/>
    <w:rsid w:val="61F439C5"/>
    <w:rsid w:val="61F443E9"/>
    <w:rsid w:val="62213533"/>
    <w:rsid w:val="62244E9F"/>
    <w:rsid w:val="62270D05"/>
    <w:rsid w:val="622C111C"/>
    <w:rsid w:val="623025A4"/>
    <w:rsid w:val="62305F95"/>
    <w:rsid w:val="62397832"/>
    <w:rsid w:val="62461BF2"/>
    <w:rsid w:val="62607426"/>
    <w:rsid w:val="626347A6"/>
    <w:rsid w:val="6278379F"/>
    <w:rsid w:val="62857AB0"/>
    <w:rsid w:val="62867444"/>
    <w:rsid w:val="628A41A8"/>
    <w:rsid w:val="629D7EE8"/>
    <w:rsid w:val="62A84A93"/>
    <w:rsid w:val="62BC1814"/>
    <w:rsid w:val="62BD1648"/>
    <w:rsid w:val="62C73A65"/>
    <w:rsid w:val="62CB3A67"/>
    <w:rsid w:val="62D50998"/>
    <w:rsid w:val="62E7507D"/>
    <w:rsid w:val="62F00C3E"/>
    <w:rsid w:val="62F61E46"/>
    <w:rsid w:val="62F67597"/>
    <w:rsid w:val="630C34D0"/>
    <w:rsid w:val="631E48B7"/>
    <w:rsid w:val="6322080B"/>
    <w:rsid w:val="63255FA6"/>
    <w:rsid w:val="635F6BBD"/>
    <w:rsid w:val="63782078"/>
    <w:rsid w:val="638F7AFC"/>
    <w:rsid w:val="639215D8"/>
    <w:rsid w:val="639B4C77"/>
    <w:rsid w:val="63A36BE5"/>
    <w:rsid w:val="63AC4359"/>
    <w:rsid w:val="63C04B8A"/>
    <w:rsid w:val="63CD32CA"/>
    <w:rsid w:val="63D42229"/>
    <w:rsid w:val="63D8474D"/>
    <w:rsid w:val="63DB746A"/>
    <w:rsid w:val="63DF4869"/>
    <w:rsid w:val="63E5033D"/>
    <w:rsid w:val="63EE162B"/>
    <w:rsid w:val="63F75B8A"/>
    <w:rsid w:val="64003199"/>
    <w:rsid w:val="640310C7"/>
    <w:rsid w:val="64155C8D"/>
    <w:rsid w:val="641B0760"/>
    <w:rsid w:val="641E1DE4"/>
    <w:rsid w:val="64203CB4"/>
    <w:rsid w:val="64222857"/>
    <w:rsid w:val="64335EB1"/>
    <w:rsid w:val="64383A64"/>
    <w:rsid w:val="64433CD0"/>
    <w:rsid w:val="64455B95"/>
    <w:rsid w:val="64495F72"/>
    <w:rsid w:val="644B25BC"/>
    <w:rsid w:val="64546A26"/>
    <w:rsid w:val="645A76FE"/>
    <w:rsid w:val="647F6D16"/>
    <w:rsid w:val="6498217B"/>
    <w:rsid w:val="64987FF4"/>
    <w:rsid w:val="64A94344"/>
    <w:rsid w:val="64D0513C"/>
    <w:rsid w:val="64DD517A"/>
    <w:rsid w:val="64EB1866"/>
    <w:rsid w:val="64EB2E2F"/>
    <w:rsid w:val="64F702F2"/>
    <w:rsid w:val="65046BCA"/>
    <w:rsid w:val="651424EE"/>
    <w:rsid w:val="651E67EB"/>
    <w:rsid w:val="65257BC1"/>
    <w:rsid w:val="65287A29"/>
    <w:rsid w:val="65490238"/>
    <w:rsid w:val="65537EF9"/>
    <w:rsid w:val="65593C2E"/>
    <w:rsid w:val="655E1155"/>
    <w:rsid w:val="655F4773"/>
    <w:rsid w:val="65636455"/>
    <w:rsid w:val="658E43F4"/>
    <w:rsid w:val="6590252A"/>
    <w:rsid w:val="65904230"/>
    <w:rsid w:val="65A240BE"/>
    <w:rsid w:val="65A273A9"/>
    <w:rsid w:val="65AE5114"/>
    <w:rsid w:val="65B61DD9"/>
    <w:rsid w:val="65BB5075"/>
    <w:rsid w:val="65C42F33"/>
    <w:rsid w:val="65C76D0B"/>
    <w:rsid w:val="65CB5A52"/>
    <w:rsid w:val="65D23BC4"/>
    <w:rsid w:val="65D969F1"/>
    <w:rsid w:val="65DF7832"/>
    <w:rsid w:val="66222BC0"/>
    <w:rsid w:val="662861DC"/>
    <w:rsid w:val="66286B79"/>
    <w:rsid w:val="66306F43"/>
    <w:rsid w:val="66326E97"/>
    <w:rsid w:val="66363F02"/>
    <w:rsid w:val="663F4723"/>
    <w:rsid w:val="664615E7"/>
    <w:rsid w:val="665242EE"/>
    <w:rsid w:val="665265F4"/>
    <w:rsid w:val="6666302E"/>
    <w:rsid w:val="666F0E5A"/>
    <w:rsid w:val="667322A4"/>
    <w:rsid w:val="668F06DD"/>
    <w:rsid w:val="66943E18"/>
    <w:rsid w:val="6699652A"/>
    <w:rsid w:val="66A93110"/>
    <w:rsid w:val="66AC664F"/>
    <w:rsid w:val="66AF2B2C"/>
    <w:rsid w:val="66D14104"/>
    <w:rsid w:val="66DC3EF7"/>
    <w:rsid w:val="66DE561C"/>
    <w:rsid w:val="66F0190D"/>
    <w:rsid w:val="67064E16"/>
    <w:rsid w:val="672833FF"/>
    <w:rsid w:val="673100D9"/>
    <w:rsid w:val="6731395C"/>
    <w:rsid w:val="67421678"/>
    <w:rsid w:val="67447CAA"/>
    <w:rsid w:val="67603184"/>
    <w:rsid w:val="67615909"/>
    <w:rsid w:val="676569B0"/>
    <w:rsid w:val="676818B7"/>
    <w:rsid w:val="676B6D11"/>
    <w:rsid w:val="676E53AF"/>
    <w:rsid w:val="6772565E"/>
    <w:rsid w:val="677D4E65"/>
    <w:rsid w:val="678A1A6C"/>
    <w:rsid w:val="679C72E6"/>
    <w:rsid w:val="679D7D9D"/>
    <w:rsid w:val="67A16316"/>
    <w:rsid w:val="67B52945"/>
    <w:rsid w:val="67B84A87"/>
    <w:rsid w:val="67C03310"/>
    <w:rsid w:val="67C25449"/>
    <w:rsid w:val="67D5396B"/>
    <w:rsid w:val="67DD018E"/>
    <w:rsid w:val="67DE5B6F"/>
    <w:rsid w:val="67E24A58"/>
    <w:rsid w:val="67E84BC2"/>
    <w:rsid w:val="67E967D4"/>
    <w:rsid w:val="67EA1DE2"/>
    <w:rsid w:val="67F51F5D"/>
    <w:rsid w:val="680E0310"/>
    <w:rsid w:val="681C0F9C"/>
    <w:rsid w:val="68280A59"/>
    <w:rsid w:val="68397A86"/>
    <w:rsid w:val="685448E5"/>
    <w:rsid w:val="68567ADB"/>
    <w:rsid w:val="685A52F7"/>
    <w:rsid w:val="686301D2"/>
    <w:rsid w:val="686F32ED"/>
    <w:rsid w:val="68763CFB"/>
    <w:rsid w:val="68775B46"/>
    <w:rsid w:val="688C2914"/>
    <w:rsid w:val="68AB1911"/>
    <w:rsid w:val="68AC7864"/>
    <w:rsid w:val="68BD141F"/>
    <w:rsid w:val="68C2312F"/>
    <w:rsid w:val="68CC74D0"/>
    <w:rsid w:val="68D53366"/>
    <w:rsid w:val="68DD058C"/>
    <w:rsid w:val="68E84B74"/>
    <w:rsid w:val="68F97892"/>
    <w:rsid w:val="690300E6"/>
    <w:rsid w:val="691318F3"/>
    <w:rsid w:val="691F004A"/>
    <w:rsid w:val="692563EE"/>
    <w:rsid w:val="692D6BB4"/>
    <w:rsid w:val="693D18C5"/>
    <w:rsid w:val="69456602"/>
    <w:rsid w:val="69471F8B"/>
    <w:rsid w:val="69656FD3"/>
    <w:rsid w:val="6965727E"/>
    <w:rsid w:val="69785369"/>
    <w:rsid w:val="69BF2D66"/>
    <w:rsid w:val="69C22990"/>
    <w:rsid w:val="69C62E9A"/>
    <w:rsid w:val="69D9569F"/>
    <w:rsid w:val="69F076EC"/>
    <w:rsid w:val="69FC71B3"/>
    <w:rsid w:val="6A046C7D"/>
    <w:rsid w:val="6A0C4C59"/>
    <w:rsid w:val="6A0C7811"/>
    <w:rsid w:val="6A0E0287"/>
    <w:rsid w:val="6A0E500E"/>
    <w:rsid w:val="6A0E77F1"/>
    <w:rsid w:val="6A19339F"/>
    <w:rsid w:val="6A3001E9"/>
    <w:rsid w:val="6A342EDC"/>
    <w:rsid w:val="6A55161C"/>
    <w:rsid w:val="6A65568E"/>
    <w:rsid w:val="6A6E67DD"/>
    <w:rsid w:val="6A8213EE"/>
    <w:rsid w:val="6A9553FE"/>
    <w:rsid w:val="6AB8631A"/>
    <w:rsid w:val="6AC30E38"/>
    <w:rsid w:val="6ADB66AC"/>
    <w:rsid w:val="6ADD74FD"/>
    <w:rsid w:val="6B204A1A"/>
    <w:rsid w:val="6B254070"/>
    <w:rsid w:val="6B3816B9"/>
    <w:rsid w:val="6B457FC6"/>
    <w:rsid w:val="6B570F9E"/>
    <w:rsid w:val="6B704D44"/>
    <w:rsid w:val="6B7A4A17"/>
    <w:rsid w:val="6B7F1BF6"/>
    <w:rsid w:val="6B9512FD"/>
    <w:rsid w:val="6BA7070C"/>
    <w:rsid w:val="6BB554FE"/>
    <w:rsid w:val="6BB56A5C"/>
    <w:rsid w:val="6BB87BB7"/>
    <w:rsid w:val="6BC12EDC"/>
    <w:rsid w:val="6BE255D8"/>
    <w:rsid w:val="6BE76A97"/>
    <w:rsid w:val="6BF056A3"/>
    <w:rsid w:val="6BF43FAF"/>
    <w:rsid w:val="6BFB78C8"/>
    <w:rsid w:val="6C110991"/>
    <w:rsid w:val="6C1363EA"/>
    <w:rsid w:val="6C1F175D"/>
    <w:rsid w:val="6C386C1D"/>
    <w:rsid w:val="6C3E480C"/>
    <w:rsid w:val="6C4471AC"/>
    <w:rsid w:val="6C4A348A"/>
    <w:rsid w:val="6C4A4478"/>
    <w:rsid w:val="6C5002D5"/>
    <w:rsid w:val="6C523F43"/>
    <w:rsid w:val="6C64734B"/>
    <w:rsid w:val="6C777224"/>
    <w:rsid w:val="6C7C0FBC"/>
    <w:rsid w:val="6C83219C"/>
    <w:rsid w:val="6C833B41"/>
    <w:rsid w:val="6C97436A"/>
    <w:rsid w:val="6C9803A4"/>
    <w:rsid w:val="6CD323B8"/>
    <w:rsid w:val="6CDD7CF5"/>
    <w:rsid w:val="6CE71ED8"/>
    <w:rsid w:val="6CF33107"/>
    <w:rsid w:val="6CF57B18"/>
    <w:rsid w:val="6CFC0F53"/>
    <w:rsid w:val="6CFC3ED1"/>
    <w:rsid w:val="6D164F86"/>
    <w:rsid w:val="6D243939"/>
    <w:rsid w:val="6D3125B4"/>
    <w:rsid w:val="6D351FB7"/>
    <w:rsid w:val="6D36200B"/>
    <w:rsid w:val="6D390ED7"/>
    <w:rsid w:val="6D447778"/>
    <w:rsid w:val="6D4A5F2F"/>
    <w:rsid w:val="6D620170"/>
    <w:rsid w:val="6D6D3796"/>
    <w:rsid w:val="6D777E6B"/>
    <w:rsid w:val="6D7A3305"/>
    <w:rsid w:val="6D84645E"/>
    <w:rsid w:val="6D8F437E"/>
    <w:rsid w:val="6D990245"/>
    <w:rsid w:val="6D997573"/>
    <w:rsid w:val="6DA026C8"/>
    <w:rsid w:val="6DA5760F"/>
    <w:rsid w:val="6DAD31F1"/>
    <w:rsid w:val="6DB46943"/>
    <w:rsid w:val="6DB56D43"/>
    <w:rsid w:val="6DB62F23"/>
    <w:rsid w:val="6DC62455"/>
    <w:rsid w:val="6DED42F9"/>
    <w:rsid w:val="6DFB6D2D"/>
    <w:rsid w:val="6E035FBA"/>
    <w:rsid w:val="6E123F60"/>
    <w:rsid w:val="6E162FAB"/>
    <w:rsid w:val="6E1E4715"/>
    <w:rsid w:val="6E297170"/>
    <w:rsid w:val="6E5231A4"/>
    <w:rsid w:val="6E5A40EE"/>
    <w:rsid w:val="6E671D27"/>
    <w:rsid w:val="6E6E6B53"/>
    <w:rsid w:val="6E7D48F4"/>
    <w:rsid w:val="6E8A64FD"/>
    <w:rsid w:val="6E9C16AF"/>
    <w:rsid w:val="6E9D390D"/>
    <w:rsid w:val="6EB76C30"/>
    <w:rsid w:val="6EB97BB5"/>
    <w:rsid w:val="6ECE49D4"/>
    <w:rsid w:val="6ED72B2B"/>
    <w:rsid w:val="6ED9046A"/>
    <w:rsid w:val="6EE10B05"/>
    <w:rsid w:val="6EEB713E"/>
    <w:rsid w:val="6EF115F9"/>
    <w:rsid w:val="6F0472BB"/>
    <w:rsid w:val="6F062965"/>
    <w:rsid w:val="6F0D763F"/>
    <w:rsid w:val="6F102BB9"/>
    <w:rsid w:val="6F17348E"/>
    <w:rsid w:val="6F206808"/>
    <w:rsid w:val="6F2E0C37"/>
    <w:rsid w:val="6F45301C"/>
    <w:rsid w:val="6F474B62"/>
    <w:rsid w:val="6F537CC8"/>
    <w:rsid w:val="6F54013B"/>
    <w:rsid w:val="6F5B3B07"/>
    <w:rsid w:val="6F6000F3"/>
    <w:rsid w:val="6F7A7501"/>
    <w:rsid w:val="6FAB7D95"/>
    <w:rsid w:val="6FAD23B4"/>
    <w:rsid w:val="6FAD5E72"/>
    <w:rsid w:val="6FBD7D61"/>
    <w:rsid w:val="6FC403D9"/>
    <w:rsid w:val="6FC42EAB"/>
    <w:rsid w:val="6FD101F3"/>
    <w:rsid w:val="6FDC5C4D"/>
    <w:rsid w:val="6FE54803"/>
    <w:rsid w:val="6FE54985"/>
    <w:rsid w:val="6FE60FC7"/>
    <w:rsid w:val="6FE856E7"/>
    <w:rsid w:val="6FEC7554"/>
    <w:rsid w:val="6FF1283A"/>
    <w:rsid w:val="6FF4469C"/>
    <w:rsid w:val="6FF70359"/>
    <w:rsid w:val="6FF77C50"/>
    <w:rsid w:val="6FF90C4A"/>
    <w:rsid w:val="702C7A97"/>
    <w:rsid w:val="70563262"/>
    <w:rsid w:val="705873A3"/>
    <w:rsid w:val="706630F4"/>
    <w:rsid w:val="709910D5"/>
    <w:rsid w:val="709B4AFB"/>
    <w:rsid w:val="70C15D8C"/>
    <w:rsid w:val="70D216D3"/>
    <w:rsid w:val="70F659AE"/>
    <w:rsid w:val="71010D74"/>
    <w:rsid w:val="710F7DD8"/>
    <w:rsid w:val="711F373C"/>
    <w:rsid w:val="71534AAE"/>
    <w:rsid w:val="716C54B9"/>
    <w:rsid w:val="717C638C"/>
    <w:rsid w:val="719B216D"/>
    <w:rsid w:val="71A40936"/>
    <w:rsid w:val="71B752EE"/>
    <w:rsid w:val="71C66F16"/>
    <w:rsid w:val="71DB12A7"/>
    <w:rsid w:val="71DE0262"/>
    <w:rsid w:val="72106F1F"/>
    <w:rsid w:val="7211200F"/>
    <w:rsid w:val="722D57C7"/>
    <w:rsid w:val="724062B5"/>
    <w:rsid w:val="724A0704"/>
    <w:rsid w:val="724F46F0"/>
    <w:rsid w:val="7255143F"/>
    <w:rsid w:val="72630696"/>
    <w:rsid w:val="726436E6"/>
    <w:rsid w:val="72651885"/>
    <w:rsid w:val="72700C83"/>
    <w:rsid w:val="727870BC"/>
    <w:rsid w:val="727E6483"/>
    <w:rsid w:val="728453D5"/>
    <w:rsid w:val="72916007"/>
    <w:rsid w:val="72935827"/>
    <w:rsid w:val="729937A7"/>
    <w:rsid w:val="729B6C7B"/>
    <w:rsid w:val="729B79DD"/>
    <w:rsid w:val="72A96531"/>
    <w:rsid w:val="72B6163B"/>
    <w:rsid w:val="72BB1BA7"/>
    <w:rsid w:val="72D051AC"/>
    <w:rsid w:val="72D05F60"/>
    <w:rsid w:val="72ED426C"/>
    <w:rsid w:val="72F91A90"/>
    <w:rsid w:val="730313CC"/>
    <w:rsid w:val="73035041"/>
    <w:rsid w:val="73073B1B"/>
    <w:rsid w:val="730E33D2"/>
    <w:rsid w:val="731C314C"/>
    <w:rsid w:val="732927A3"/>
    <w:rsid w:val="73303587"/>
    <w:rsid w:val="73323045"/>
    <w:rsid w:val="73427202"/>
    <w:rsid w:val="734333B2"/>
    <w:rsid w:val="73473252"/>
    <w:rsid w:val="734B5436"/>
    <w:rsid w:val="73637990"/>
    <w:rsid w:val="73663A61"/>
    <w:rsid w:val="73671066"/>
    <w:rsid w:val="736F68EF"/>
    <w:rsid w:val="73812244"/>
    <w:rsid w:val="73861C37"/>
    <w:rsid w:val="739D6139"/>
    <w:rsid w:val="739E743E"/>
    <w:rsid w:val="73B02110"/>
    <w:rsid w:val="73CD7F8D"/>
    <w:rsid w:val="73CE0E30"/>
    <w:rsid w:val="73F95D4E"/>
    <w:rsid w:val="74044161"/>
    <w:rsid w:val="74194164"/>
    <w:rsid w:val="741C0ACA"/>
    <w:rsid w:val="741C2B81"/>
    <w:rsid w:val="742D6B25"/>
    <w:rsid w:val="742D7EA2"/>
    <w:rsid w:val="744446C4"/>
    <w:rsid w:val="74524A6C"/>
    <w:rsid w:val="745D46B6"/>
    <w:rsid w:val="747E2170"/>
    <w:rsid w:val="749850D8"/>
    <w:rsid w:val="74994FF2"/>
    <w:rsid w:val="74A93ADB"/>
    <w:rsid w:val="74AB764B"/>
    <w:rsid w:val="74AF159D"/>
    <w:rsid w:val="74B94C23"/>
    <w:rsid w:val="74BA0C6B"/>
    <w:rsid w:val="74BB501E"/>
    <w:rsid w:val="74C03BE2"/>
    <w:rsid w:val="74EE31EA"/>
    <w:rsid w:val="74FA202A"/>
    <w:rsid w:val="74FA2880"/>
    <w:rsid w:val="75046088"/>
    <w:rsid w:val="75225CBF"/>
    <w:rsid w:val="7534240C"/>
    <w:rsid w:val="75350693"/>
    <w:rsid w:val="75371C19"/>
    <w:rsid w:val="7546677D"/>
    <w:rsid w:val="7548684B"/>
    <w:rsid w:val="754B2AC0"/>
    <w:rsid w:val="754D466C"/>
    <w:rsid w:val="754F4CC4"/>
    <w:rsid w:val="755C32D8"/>
    <w:rsid w:val="756E0B0A"/>
    <w:rsid w:val="757031D9"/>
    <w:rsid w:val="75750081"/>
    <w:rsid w:val="757C314C"/>
    <w:rsid w:val="75814167"/>
    <w:rsid w:val="75842DFC"/>
    <w:rsid w:val="759E72E5"/>
    <w:rsid w:val="75A667A1"/>
    <w:rsid w:val="75AB1086"/>
    <w:rsid w:val="75B9416A"/>
    <w:rsid w:val="75BE0722"/>
    <w:rsid w:val="75C07FC8"/>
    <w:rsid w:val="75C247F2"/>
    <w:rsid w:val="75CD7BB5"/>
    <w:rsid w:val="761C72F5"/>
    <w:rsid w:val="763255D2"/>
    <w:rsid w:val="76437D02"/>
    <w:rsid w:val="764B0BC9"/>
    <w:rsid w:val="764F1267"/>
    <w:rsid w:val="765120A6"/>
    <w:rsid w:val="766279A2"/>
    <w:rsid w:val="766D5F57"/>
    <w:rsid w:val="76752AAE"/>
    <w:rsid w:val="767F05D4"/>
    <w:rsid w:val="76807564"/>
    <w:rsid w:val="76B0479B"/>
    <w:rsid w:val="76BD6FDB"/>
    <w:rsid w:val="76BF7D3D"/>
    <w:rsid w:val="76C52AEB"/>
    <w:rsid w:val="76D264D4"/>
    <w:rsid w:val="76D33F40"/>
    <w:rsid w:val="76E955C3"/>
    <w:rsid w:val="76F94659"/>
    <w:rsid w:val="76FD43AC"/>
    <w:rsid w:val="77073F57"/>
    <w:rsid w:val="77091725"/>
    <w:rsid w:val="77123ACC"/>
    <w:rsid w:val="77181A42"/>
    <w:rsid w:val="771E16D3"/>
    <w:rsid w:val="77247924"/>
    <w:rsid w:val="772B1B20"/>
    <w:rsid w:val="773B78A9"/>
    <w:rsid w:val="77510935"/>
    <w:rsid w:val="775846FD"/>
    <w:rsid w:val="775F45E6"/>
    <w:rsid w:val="77634F3B"/>
    <w:rsid w:val="777C6115"/>
    <w:rsid w:val="777F4D61"/>
    <w:rsid w:val="7793189B"/>
    <w:rsid w:val="77C522CE"/>
    <w:rsid w:val="77D36332"/>
    <w:rsid w:val="77D47475"/>
    <w:rsid w:val="77D547E3"/>
    <w:rsid w:val="77D558AA"/>
    <w:rsid w:val="77D62A56"/>
    <w:rsid w:val="77E62733"/>
    <w:rsid w:val="77ED4572"/>
    <w:rsid w:val="77F84B71"/>
    <w:rsid w:val="780E1955"/>
    <w:rsid w:val="78293DC3"/>
    <w:rsid w:val="782D2D9B"/>
    <w:rsid w:val="78333364"/>
    <w:rsid w:val="783A6B2F"/>
    <w:rsid w:val="783F4F70"/>
    <w:rsid w:val="78553BB8"/>
    <w:rsid w:val="785B4C20"/>
    <w:rsid w:val="785D218D"/>
    <w:rsid w:val="78755E1D"/>
    <w:rsid w:val="78AB4E34"/>
    <w:rsid w:val="78B8567C"/>
    <w:rsid w:val="78BD7F9F"/>
    <w:rsid w:val="78DD2859"/>
    <w:rsid w:val="78F7615B"/>
    <w:rsid w:val="78FD2962"/>
    <w:rsid w:val="79175EB6"/>
    <w:rsid w:val="79307089"/>
    <w:rsid w:val="79373219"/>
    <w:rsid w:val="794A4288"/>
    <w:rsid w:val="794C7980"/>
    <w:rsid w:val="7954036F"/>
    <w:rsid w:val="7963139E"/>
    <w:rsid w:val="7981755F"/>
    <w:rsid w:val="79822FDC"/>
    <w:rsid w:val="798B23A6"/>
    <w:rsid w:val="79981FE8"/>
    <w:rsid w:val="79A86542"/>
    <w:rsid w:val="79BE5E62"/>
    <w:rsid w:val="79BF626C"/>
    <w:rsid w:val="79D00261"/>
    <w:rsid w:val="79D72059"/>
    <w:rsid w:val="79E652F3"/>
    <w:rsid w:val="79EC33C3"/>
    <w:rsid w:val="79F67F8F"/>
    <w:rsid w:val="7A107C8F"/>
    <w:rsid w:val="7A1C1793"/>
    <w:rsid w:val="7A1C4DC7"/>
    <w:rsid w:val="7A2769D9"/>
    <w:rsid w:val="7A2E73B3"/>
    <w:rsid w:val="7A3A078E"/>
    <w:rsid w:val="7A45124E"/>
    <w:rsid w:val="7A47525B"/>
    <w:rsid w:val="7A4C7BCA"/>
    <w:rsid w:val="7A5955C8"/>
    <w:rsid w:val="7A7051EE"/>
    <w:rsid w:val="7A7F307F"/>
    <w:rsid w:val="7A850292"/>
    <w:rsid w:val="7A864059"/>
    <w:rsid w:val="7A8759F4"/>
    <w:rsid w:val="7A991285"/>
    <w:rsid w:val="7AAC03BC"/>
    <w:rsid w:val="7AB2157C"/>
    <w:rsid w:val="7AB64A22"/>
    <w:rsid w:val="7AC15EF1"/>
    <w:rsid w:val="7AC179AB"/>
    <w:rsid w:val="7AC25CC5"/>
    <w:rsid w:val="7AC528C4"/>
    <w:rsid w:val="7ACB2084"/>
    <w:rsid w:val="7ACE4545"/>
    <w:rsid w:val="7AD42E32"/>
    <w:rsid w:val="7ADD23D2"/>
    <w:rsid w:val="7AE04623"/>
    <w:rsid w:val="7AE80992"/>
    <w:rsid w:val="7AE9752E"/>
    <w:rsid w:val="7AEC1055"/>
    <w:rsid w:val="7AED3CDF"/>
    <w:rsid w:val="7AEF52E1"/>
    <w:rsid w:val="7AF51135"/>
    <w:rsid w:val="7AFE078F"/>
    <w:rsid w:val="7B0320BB"/>
    <w:rsid w:val="7B1E76B6"/>
    <w:rsid w:val="7B5204F9"/>
    <w:rsid w:val="7B5E2383"/>
    <w:rsid w:val="7B6E3852"/>
    <w:rsid w:val="7B745405"/>
    <w:rsid w:val="7B780677"/>
    <w:rsid w:val="7B911201"/>
    <w:rsid w:val="7B985F55"/>
    <w:rsid w:val="7B9C23E8"/>
    <w:rsid w:val="7BAE3A12"/>
    <w:rsid w:val="7BCB44ED"/>
    <w:rsid w:val="7BCD7043"/>
    <w:rsid w:val="7BDA2B39"/>
    <w:rsid w:val="7BDF7110"/>
    <w:rsid w:val="7C0815E0"/>
    <w:rsid w:val="7C274E7E"/>
    <w:rsid w:val="7C280E42"/>
    <w:rsid w:val="7C7F4F3C"/>
    <w:rsid w:val="7C9B44B6"/>
    <w:rsid w:val="7C9C55B4"/>
    <w:rsid w:val="7CA544A2"/>
    <w:rsid w:val="7CAD59A1"/>
    <w:rsid w:val="7CB347D7"/>
    <w:rsid w:val="7CCD67D7"/>
    <w:rsid w:val="7CE07511"/>
    <w:rsid w:val="7CE21673"/>
    <w:rsid w:val="7CE2570E"/>
    <w:rsid w:val="7CF45745"/>
    <w:rsid w:val="7D276660"/>
    <w:rsid w:val="7D295F33"/>
    <w:rsid w:val="7D393FED"/>
    <w:rsid w:val="7D4033FD"/>
    <w:rsid w:val="7D4D307B"/>
    <w:rsid w:val="7D4D5856"/>
    <w:rsid w:val="7D537A55"/>
    <w:rsid w:val="7D540062"/>
    <w:rsid w:val="7D583911"/>
    <w:rsid w:val="7D737A9C"/>
    <w:rsid w:val="7D826F26"/>
    <w:rsid w:val="7D933791"/>
    <w:rsid w:val="7D967F99"/>
    <w:rsid w:val="7DAA16F6"/>
    <w:rsid w:val="7DB61C4E"/>
    <w:rsid w:val="7DD040B2"/>
    <w:rsid w:val="7DDA79B6"/>
    <w:rsid w:val="7DE14EF9"/>
    <w:rsid w:val="7DED63B1"/>
    <w:rsid w:val="7DF0751D"/>
    <w:rsid w:val="7E0E51B0"/>
    <w:rsid w:val="7E183EEA"/>
    <w:rsid w:val="7E440B2B"/>
    <w:rsid w:val="7E4A22B2"/>
    <w:rsid w:val="7E4F61B6"/>
    <w:rsid w:val="7E6752B6"/>
    <w:rsid w:val="7E694F72"/>
    <w:rsid w:val="7E717A7B"/>
    <w:rsid w:val="7E77254B"/>
    <w:rsid w:val="7E80292D"/>
    <w:rsid w:val="7E805FD1"/>
    <w:rsid w:val="7E84382C"/>
    <w:rsid w:val="7E855AE7"/>
    <w:rsid w:val="7E9B065D"/>
    <w:rsid w:val="7E9D718F"/>
    <w:rsid w:val="7EA7411B"/>
    <w:rsid w:val="7EA874D5"/>
    <w:rsid w:val="7EAA0221"/>
    <w:rsid w:val="7EB02A3C"/>
    <w:rsid w:val="7EB714C1"/>
    <w:rsid w:val="7EB835B8"/>
    <w:rsid w:val="7EC301BA"/>
    <w:rsid w:val="7ED326C7"/>
    <w:rsid w:val="7EFB70B7"/>
    <w:rsid w:val="7F0A6F2E"/>
    <w:rsid w:val="7F21551C"/>
    <w:rsid w:val="7F234D02"/>
    <w:rsid w:val="7F251450"/>
    <w:rsid w:val="7F381A47"/>
    <w:rsid w:val="7F3932D6"/>
    <w:rsid w:val="7F3B3199"/>
    <w:rsid w:val="7F3D07F6"/>
    <w:rsid w:val="7F4D23DA"/>
    <w:rsid w:val="7F5458D0"/>
    <w:rsid w:val="7F613C7E"/>
    <w:rsid w:val="7F63160A"/>
    <w:rsid w:val="7F65557D"/>
    <w:rsid w:val="7F666046"/>
    <w:rsid w:val="7F827F3A"/>
    <w:rsid w:val="7F886A6A"/>
    <w:rsid w:val="7F912BF1"/>
    <w:rsid w:val="7FA4150B"/>
    <w:rsid w:val="7FA51D95"/>
    <w:rsid w:val="7FCC65E5"/>
    <w:rsid w:val="7FD25345"/>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1083</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2025-08-15T12:16:52Z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